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BFC53" w14:textId="77777777" w:rsidR="00E247C4" w:rsidRDefault="00E247C4" w:rsidP="00E247C4">
      <w:pPr>
        <w:pStyle w:val="1"/>
        <w:spacing w:line="360" w:lineRule="auto"/>
        <w:jc w:val="center"/>
        <w:rPr>
          <w:rFonts w:ascii="宋体" w:eastAsia="宋体" w:hAnsi="宋体"/>
          <w:sz w:val="30"/>
          <w:lang w:eastAsia="zh-CN"/>
        </w:rPr>
      </w:pPr>
      <w:r>
        <w:rPr>
          <w:rFonts w:ascii="宋体" w:eastAsia="宋体" w:hAnsi="宋体" w:hint="eastAsia"/>
          <w:sz w:val="30"/>
        </w:rPr>
        <w:t>评分标准</w:t>
      </w:r>
    </w:p>
    <w:p w14:paraId="1B7BF012" w14:textId="77777777" w:rsidR="00E247C4" w:rsidRDefault="00E247C4" w:rsidP="00E247C4">
      <w:pPr>
        <w:tabs>
          <w:tab w:val="left" w:pos="1140"/>
        </w:tabs>
        <w:spacing w:line="360" w:lineRule="auto"/>
        <w:ind w:firstLineChars="200" w:firstLine="422"/>
        <w:rPr>
          <w:rFonts w:ascii="宋体" w:hAnsi="宋体"/>
          <w:b/>
          <w:szCs w:val="21"/>
        </w:rPr>
      </w:pPr>
      <w:r>
        <w:rPr>
          <w:rFonts w:ascii="宋体" w:hAnsi="宋体" w:hint="eastAsia"/>
          <w:b/>
          <w:szCs w:val="21"/>
        </w:rPr>
        <w:t>一、评标办法：</w:t>
      </w:r>
    </w:p>
    <w:p w14:paraId="7CB59603" w14:textId="77777777" w:rsidR="00E247C4" w:rsidRDefault="00E247C4" w:rsidP="00E247C4">
      <w:pPr>
        <w:tabs>
          <w:tab w:val="left" w:pos="2870"/>
        </w:tabs>
        <w:adjustRightInd w:val="0"/>
        <w:snapToGrid w:val="0"/>
        <w:spacing w:line="360" w:lineRule="auto"/>
        <w:ind w:firstLine="420"/>
        <w:rPr>
          <w:rFonts w:ascii="宋体" w:hAnsi="宋体"/>
          <w:bCs/>
          <w:szCs w:val="21"/>
          <w:lang w:val="x-none" w:eastAsia="x-none"/>
        </w:rPr>
      </w:pPr>
      <w:r>
        <w:rPr>
          <w:rFonts w:ascii="宋体" w:hAnsi="宋体" w:hint="eastAsia"/>
          <w:bCs/>
          <w:szCs w:val="21"/>
          <w:lang w:val="x-none" w:eastAsia="x-none"/>
        </w:rPr>
        <w:t>1、本项目评标办法均采用综合评标法。价格分根据投标单位的投标总价计算得出，价格分加上评标的技术、资质等方面的技术部分平均分，为投标单位的最终总得分。</w:t>
      </w:r>
    </w:p>
    <w:p w14:paraId="5D48E920" w14:textId="77777777" w:rsidR="00E247C4" w:rsidRDefault="00E247C4" w:rsidP="00E247C4">
      <w:pPr>
        <w:pStyle w:val="Andy"/>
        <w:ind w:firstLine="420"/>
        <w:rPr>
          <w:bCs/>
          <w:sz w:val="21"/>
          <w:szCs w:val="21"/>
          <w:lang w:val="x-none" w:eastAsia="x-none"/>
        </w:rPr>
      </w:pPr>
      <w:r>
        <w:rPr>
          <w:rFonts w:hint="eastAsia"/>
          <w:bCs/>
          <w:sz w:val="21"/>
          <w:szCs w:val="21"/>
          <w:lang w:val="x-none" w:eastAsia="x-none"/>
        </w:rPr>
        <w:t>2、评标委员会按最终总得分排序确定排名第一的为中标单位，有效投标单位不足三家的为废标。如果排名第一名的单位不能履约合同的，采购单位有权选择其他单位为中标单位。</w:t>
      </w:r>
    </w:p>
    <w:p w14:paraId="51244A2A" w14:textId="77777777" w:rsidR="00E247C4" w:rsidRDefault="00E247C4" w:rsidP="00E247C4">
      <w:pPr>
        <w:pStyle w:val="Andy"/>
        <w:ind w:firstLine="420"/>
        <w:rPr>
          <w:bCs/>
          <w:sz w:val="21"/>
          <w:szCs w:val="21"/>
          <w:lang w:val="x-none" w:eastAsia="x-none"/>
        </w:rPr>
      </w:pPr>
      <w:r>
        <w:rPr>
          <w:rFonts w:hint="eastAsia"/>
          <w:bCs/>
          <w:sz w:val="21"/>
          <w:szCs w:val="21"/>
          <w:lang w:val="x-none" w:eastAsia="x-none"/>
        </w:rPr>
        <w:t>3、评标委员会各成员独立对每个进入打分程序的有效投标人的标书技术部分以打分的形式进行评审和评价（计算结果均四舍五入保留两位小数）</w:t>
      </w:r>
    </w:p>
    <w:p w14:paraId="783E096B" w14:textId="77777777" w:rsidR="00E247C4" w:rsidRDefault="00E247C4" w:rsidP="00E247C4">
      <w:pPr>
        <w:adjustRightInd w:val="0"/>
        <w:snapToGrid w:val="0"/>
        <w:spacing w:line="360" w:lineRule="auto"/>
        <w:ind w:firstLineChars="202" w:firstLine="424"/>
        <w:rPr>
          <w:rFonts w:ascii="宋体" w:hAnsi="宋体"/>
          <w:bCs/>
          <w:szCs w:val="21"/>
          <w:lang w:val="x-none" w:eastAsia="x-none"/>
        </w:rPr>
      </w:pPr>
      <w:r>
        <w:rPr>
          <w:rFonts w:ascii="宋体" w:hAnsi="宋体" w:hint="eastAsia"/>
          <w:bCs/>
          <w:szCs w:val="21"/>
          <w:lang w:val="x-none" w:eastAsia="x-none"/>
        </w:rPr>
        <w:t>4、如出现评标总得分最高的投标人有两个或两个以上的，以投标报价较低者优先作为中标候选人，如果投标报价也相同的，则由采购人或代理机构组织以抽签方式确定中标候选人。</w:t>
      </w:r>
    </w:p>
    <w:p w14:paraId="7EFC37BE" w14:textId="17B21FEA" w:rsidR="00E247C4" w:rsidRDefault="00E247C4" w:rsidP="00E247C4">
      <w:pPr>
        <w:tabs>
          <w:tab w:val="left" w:pos="1140"/>
        </w:tabs>
        <w:spacing w:line="360" w:lineRule="auto"/>
        <w:ind w:firstLineChars="200" w:firstLine="422"/>
        <w:rPr>
          <w:rFonts w:ascii="宋体" w:hAnsi="宋体"/>
          <w:b/>
          <w:szCs w:val="21"/>
        </w:rPr>
      </w:pPr>
      <w:r>
        <w:rPr>
          <w:rFonts w:ascii="宋体" w:hAnsi="宋体" w:hint="eastAsia"/>
          <w:b/>
          <w:szCs w:val="21"/>
        </w:rPr>
        <w:t>二、商务报价（</w:t>
      </w:r>
      <w:r w:rsidR="00EE27AE">
        <w:rPr>
          <w:rFonts w:ascii="宋体" w:hAnsi="宋体"/>
          <w:b/>
          <w:szCs w:val="21"/>
        </w:rPr>
        <w:t>30</w:t>
      </w:r>
      <w:r>
        <w:rPr>
          <w:rFonts w:ascii="宋体" w:hAnsi="宋体" w:hint="eastAsia"/>
          <w:b/>
          <w:szCs w:val="21"/>
        </w:rPr>
        <w:t>分）</w:t>
      </w:r>
    </w:p>
    <w:p w14:paraId="2CF36731" w14:textId="77777777" w:rsidR="00E247C4" w:rsidRDefault="00E247C4" w:rsidP="00E247C4">
      <w:pPr>
        <w:spacing w:line="360" w:lineRule="auto"/>
        <w:ind w:rightChars="-120" w:right="-252" w:firstLineChars="200" w:firstLine="420"/>
        <w:rPr>
          <w:rFonts w:ascii="宋体" w:hAnsi="宋体" w:cs="Arial"/>
        </w:rPr>
      </w:pPr>
      <w:r>
        <w:rPr>
          <w:rFonts w:ascii="宋体" w:hAnsi="宋体" w:cs="Arial" w:hint="eastAsia"/>
        </w:rPr>
        <w:t>1、投标总报价大于采购预算价格的，为无效投标报价。</w:t>
      </w:r>
    </w:p>
    <w:p w14:paraId="10CA7D53" w14:textId="77777777" w:rsidR="00E247C4" w:rsidRDefault="00E247C4" w:rsidP="00E247C4">
      <w:pPr>
        <w:tabs>
          <w:tab w:val="left" w:pos="960"/>
        </w:tabs>
        <w:spacing w:line="360" w:lineRule="auto"/>
        <w:ind w:rightChars="-120" w:right="-252" w:firstLineChars="200" w:firstLine="420"/>
        <w:rPr>
          <w:rFonts w:ascii="宋体" w:hAnsi="宋体" w:cs="Arial"/>
          <w:szCs w:val="21"/>
        </w:rPr>
      </w:pPr>
      <w:r>
        <w:rPr>
          <w:rFonts w:ascii="宋体" w:hAnsi="宋体" w:cs="Arial" w:hint="eastAsia"/>
        </w:rPr>
        <w:t>2、</w:t>
      </w:r>
      <w:r>
        <w:rPr>
          <w:rFonts w:ascii="宋体" w:hAnsi="宋体" w:cs="Arial" w:hint="eastAsia"/>
          <w:szCs w:val="21"/>
        </w:rPr>
        <w:t>分析总报价及各个分项报价是否合理，报价范围是否完整，有否重大错漏项，特别说明：如果某投标方的投标报价中有漏项，且该投标方中标，则其中标价不能调整，即漏项部分的价格需该投标方自行消化。</w:t>
      </w:r>
    </w:p>
    <w:p w14:paraId="4336874F" w14:textId="77777777" w:rsidR="00E247C4" w:rsidRDefault="00E247C4" w:rsidP="00E247C4">
      <w:pPr>
        <w:spacing w:line="360" w:lineRule="auto"/>
        <w:ind w:rightChars="-120" w:right="-252" w:firstLineChars="200" w:firstLine="420"/>
        <w:rPr>
          <w:rFonts w:ascii="宋体" w:hAnsi="宋体" w:cs="Arial"/>
        </w:rPr>
      </w:pPr>
      <w:r>
        <w:rPr>
          <w:rFonts w:ascii="宋体" w:hAnsi="宋体" w:cs="Arial" w:hint="eastAsia"/>
        </w:rPr>
        <w:t>3、价格得分计算方法：根据各投标人通过符合性审查的有效投标报价中的最低价作为评标基准价，其价格分为满分。其他投标人的价格分统一按照下列公式计算：</w:t>
      </w:r>
    </w:p>
    <w:p w14:paraId="1DF1B758" w14:textId="77777777" w:rsidR="00E247C4" w:rsidRDefault="00E247C4" w:rsidP="00E247C4">
      <w:pPr>
        <w:tabs>
          <w:tab w:val="left" w:pos="960"/>
        </w:tabs>
        <w:spacing w:line="360" w:lineRule="auto"/>
        <w:ind w:rightChars="-120" w:right="-252" w:firstLineChars="200" w:firstLine="420"/>
        <w:rPr>
          <w:rFonts w:ascii="宋体" w:hAnsi="宋体" w:cs="Arial"/>
        </w:rPr>
      </w:pPr>
      <w:r>
        <w:rPr>
          <w:rFonts w:ascii="宋体" w:hAnsi="宋体" w:cs="Arial" w:hint="eastAsia"/>
        </w:rPr>
        <w:t>价格得分=（评标基准价/投标报价）×价格权重；</w:t>
      </w:r>
    </w:p>
    <w:p w14:paraId="5D13760C" w14:textId="1DB61CAD" w:rsidR="00E247C4" w:rsidRDefault="00E247C4" w:rsidP="00E247C4">
      <w:pPr>
        <w:tabs>
          <w:tab w:val="left" w:pos="1140"/>
        </w:tabs>
        <w:spacing w:line="360" w:lineRule="auto"/>
        <w:ind w:firstLineChars="200" w:firstLine="422"/>
        <w:rPr>
          <w:rFonts w:ascii="宋体" w:hAnsi="宋体"/>
          <w:b/>
          <w:szCs w:val="21"/>
        </w:rPr>
      </w:pPr>
      <w:r>
        <w:rPr>
          <w:rFonts w:ascii="宋体" w:hAnsi="宋体" w:hint="eastAsia"/>
          <w:b/>
          <w:szCs w:val="21"/>
        </w:rPr>
        <w:t>三、产品质量与技术方案：（3</w:t>
      </w:r>
      <w:r w:rsidR="00EE27AE">
        <w:rPr>
          <w:rFonts w:ascii="宋体" w:hAnsi="宋体"/>
          <w:b/>
          <w:szCs w:val="21"/>
        </w:rPr>
        <w:t>5</w:t>
      </w:r>
      <w:r>
        <w:rPr>
          <w:rFonts w:ascii="宋体" w:hAnsi="宋体" w:hint="eastAsia"/>
          <w:b/>
          <w:szCs w:val="21"/>
        </w:rPr>
        <w:t>分）</w:t>
      </w:r>
    </w:p>
    <w:p w14:paraId="4EA48459" w14:textId="77777777" w:rsidR="00E247C4" w:rsidRDefault="00E247C4" w:rsidP="00E247C4">
      <w:pPr>
        <w:spacing w:line="360" w:lineRule="auto"/>
        <w:ind w:firstLineChars="150" w:firstLine="315"/>
        <w:jc w:val="left"/>
        <w:rPr>
          <w:rFonts w:ascii="宋体" w:hAnsi="宋体"/>
          <w:bCs/>
          <w:szCs w:val="21"/>
          <w:lang w:val="x-none" w:eastAsia="x-none"/>
        </w:rPr>
      </w:pPr>
      <w:bookmarkStart w:id="0" w:name="_Toc514670155"/>
      <w:bookmarkStart w:id="1" w:name="_Toc515638505"/>
      <w:bookmarkStart w:id="2" w:name="_Toc515887437"/>
      <w:bookmarkStart w:id="3" w:name="_Toc14362785"/>
      <w:bookmarkStart w:id="4" w:name="_Toc38538940"/>
      <w:r>
        <w:rPr>
          <w:rFonts w:ascii="宋体" w:hAnsi="宋体" w:hint="eastAsia"/>
          <w:bCs/>
          <w:szCs w:val="21"/>
          <w:lang w:val="x-none" w:eastAsia="x-none"/>
        </w:rPr>
        <w:t>1、投标产品技术质量（包括产品技术参数、相关产品性能等）情况比较，</w:t>
      </w:r>
      <w:bookmarkEnd w:id="0"/>
      <w:bookmarkEnd w:id="1"/>
      <w:bookmarkEnd w:id="2"/>
      <w:r>
        <w:rPr>
          <w:rFonts w:ascii="宋体" w:hAnsi="宋体" w:hint="eastAsia"/>
          <w:bCs/>
          <w:szCs w:val="21"/>
          <w:lang w:val="x-none" w:eastAsia="x-none"/>
        </w:rPr>
        <w:t>投标单位必须详尽真实的提供投标产品的技术参数表和技术响应对照表并提供相应的产品详细技术特性说明。所投产品的技术完全满足招标要求的得28分；标“★”项指标如有负偏离，每负偏离一项基础分上扣2分；其他项如有负偏离，每负偏离一项基础分上扣1分，扣完为止。</w:t>
      </w:r>
      <w:bookmarkEnd w:id="3"/>
      <w:bookmarkEnd w:id="4"/>
      <w:r>
        <w:rPr>
          <w:rFonts w:ascii="宋体" w:hAnsi="宋体" w:hint="eastAsia"/>
          <w:bCs/>
          <w:szCs w:val="21"/>
          <w:lang w:val="x-none" w:eastAsia="x-none"/>
        </w:rPr>
        <w:t>最高为28分。</w:t>
      </w:r>
    </w:p>
    <w:p w14:paraId="187629F1" w14:textId="612FBF4D" w:rsidR="00E247C4" w:rsidRDefault="00E247C4" w:rsidP="00E247C4">
      <w:pPr>
        <w:spacing w:line="360" w:lineRule="auto"/>
        <w:ind w:firstLineChars="202" w:firstLine="424"/>
        <w:rPr>
          <w:rFonts w:ascii="宋体" w:hAnsi="宋体"/>
          <w:bCs/>
          <w:szCs w:val="21"/>
          <w:lang w:val="x-none" w:eastAsia="x-none"/>
        </w:rPr>
      </w:pPr>
      <w:r>
        <w:rPr>
          <w:rFonts w:ascii="宋体" w:hAnsi="宋体" w:hint="eastAsia"/>
          <w:bCs/>
          <w:szCs w:val="21"/>
          <w:lang w:val="x-none" w:eastAsia="x-none"/>
        </w:rPr>
        <w:t>2、</w:t>
      </w:r>
      <w:r w:rsidR="00F3565F" w:rsidRPr="00F3565F">
        <w:rPr>
          <w:rFonts w:ascii="宋体" w:hAnsi="宋体" w:hint="eastAsia"/>
          <w:bCs/>
          <w:szCs w:val="21"/>
          <w:lang w:val="x-none" w:eastAsia="x-none"/>
        </w:rPr>
        <w:t>支持与已使用的SG-6000系列设备设备联动，支持云端沙箱服务，对可疑文件进行威胁检测，支持云端管理服务，支持手机App远程监控。</w:t>
      </w:r>
      <w:r>
        <w:rPr>
          <w:rFonts w:ascii="宋体" w:hAnsi="宋体" w:hint="eastAsia"/>
          <w:bCs/>
          <w:szCs w:val="21"/>
          <w:lang w:val="x-none" w:eastAsia="x-none"/>
        </w:rPr>
        <w:t>得</w:t>
      </w:r>
      <w:r w:rsidR="00EE27AE">
        <w:rPr>
          <w:rFonts w:ascii="宋体" w:hAnsi="宋体"/>
          <w:bCs/>
          <w:szCs w:val="21"/>
          <w:lang w:val="x-none" w:eastAsia="x-none"/>
        </w:rPr>
        <w:t>7</w:t>
      </w:r>
      <w:r>
        <w:rPr>
          <w:rFonts w:ascii="宋体" w:hAnsi="宋体" w:hint="eastAsia"/>
          <w:bCs/>
          <w:szCs w:val="21"/>
          <w:lang w:val="x-none" w:eastAsia="x-none"/>
        </w:rPr>
        <w:t>分。</w:t>
      </w:r>
    </w:p>
    <w:p w14:paraId="0833D3B4" w14:textId="5B06F593" w:rsidR="00E247C4" w:rsidRDefault="00E247C4" w:rsidP="00E247C4">
      <w:pPr>
        <w:tabs>
          <w:tab w:val="left" w:pos="1140"/>
        </w:tabs>
        <w:spacing w:line="360" w:lineRule="auto"/>
        <w:ind w:firstLineChars="200" w:firstLine="422"/>
        <w:rPr>
          <w:rFonts w:ascii="宋体" w:hAnsi="宋体"/>
          <w:b/>
          <w:szCs w:val="21"/>
        </w:rPr>
      </w:pPr>
      <w:r>
        <w:rPr>
          <w:rFonts w:ascii="宋体" w:hAnsi="宋体" w:hint="eastAsia"/>
          <w:b/>
          <w:szCs w:val="21"/>
        </w:rPr>
        <w:lastRenderedPageBreak/>
        <w:t>四、针对本项目的服务</w:t>
      </w:r>
      <w:r w:rsidR="00671A83">
        <w:rPr>
          <w:rFonts w:ascii="宋体" w:hAnsi="宋体" w:hint="eastAsia"/>
          <w:b/>
          <w:szCs w:val="21"/>
        </w:rPr>
        <w:t>及售后保障情况说明</w:t>
      </w:r>
      <w:r>
        <w:rPr>
          <w:rFonts w:ascii="宋体" w:hAnsi="宋体" w:hint="eastAsia"/>
          <w:b/>
          <w:szCs w:val="21"/>
        </w:rPr>
        <w:t>（</w:t>
      </w:r>
      <w:r w:rsidR="00EE27AE">
        <w:rPr>
          <w:rFonts w:ascii="宋体" w:hAnsi="宋体"/>
          <w:b/>
          <w:szCs w:val="21"/>
        </w:rPr>
        <w:t>30</w:t>
      </w:r>
      <w:r>
        <w:rPr>
          <w:rFonts w:ascii="宋体" w:hAnsi="宋体" w:hint="eastAsia"/>
          <w:b/>
          <w:szCs w:val="21"/>
        </w:rPr>
        <w:t>分）</w:t>
      </w:r>
    </w:p>
    <w:p w14:paraId="474D4900" w14:textId="77777777" w:rsidR="00E247C4" w:rsidRDefault="00E247C4" w:rsidP="00E247C4">
      <w:pPr>
        <w:pStyle w:val="a4"/>
        <w:adjustRightInd w:val="0"/>
        <w:snapToGrid w:val="0"/>
        <w:spacing w:line="360" w:lineRule="auto"/>
        <w:ind w:firstLineChars="0"/>
        <w:rPr>
          <w:rFonts w:ascii="宋体" w:hAnsi="宋体" w:cs="宋体"/>
          <w:szCs w:val="21"/>
          <w:lang w:eastAsia="zh-CN"/>
        </w:rPr>
      </w:pPr>
      <w:r>
        <w:rPr>
          <w:rFonts w:ascii="宋体" w:hAnsi="宋体" w:cs="宋体" w:hint="eastAsia"/>
          <w:szCs w:val="21"/>
        </w:rPr>
        <w:t>1、投标单位项目实施及售后服务人员具有高级网络工程师（HCSA）的得2分，最高得</w:t>
      </w:r>
      <w:r w:rsidR="00F3565F">
        <w:rPr>
          <w:rFonts w:ascii="宋体" w:hAnsi="宋体" w:cs="宋体" w:hint="eastAsia"/>
          <w:szCs w:val="21"/>
        </w:rPr>
        <w:t>10</w:t>
      </w:r>
      <w:r>
        <w:rPr>
          <w:rFonts w:ascii="宋体" w:hAnsi="宋体" w:cs="宋体" w:hint="eastAsia"/>
          <w:szCs w:val="21"/>
        </w:rPr>
        <w:t>分；</w:t>
      </w:r>
    </w:p>
    <w:p w14:paraId="7AF67012" w14:textId="77777777" w:rsidR="00E247C4" w:rsidRDefault="00E247C4" w:rsidP="00E247C4">
      <w:pPr>
        <w:pStyle w:val="a4"/>
        <w:adjustRightInd w:val="0"/>
        <w:snapToGrid w:val="0"/>
        <w:spacing w:line="360" w:lineRule="auto"/>
        <w:ind w:firstLineChars="0"/>
        <w:rPr>
          <w:rFonts w:ascii="宋体" w:hAnsi="宋体" w:cs="Times New Roman"/>
          <w:bCs/>
          <w:szCs w:val="21"/>
        </w:rPr>
      </w:pPr>
      <w:r>
        <w:rPr>
          <w:rFonts w:ascii="宋体" w:hAnsi="宋体" w:cs="宋体" w:hint="eastAsia"/>
          <w:szCs w:val="21"/>
          <w:lang w:eastAsia="zh-CN"/>
        </w:rPr>
        <w:t>2</w:t>
      </w:r>
      <w:bookmarkStart w:id="5" w:name="_Toc68690641"/>
      <w:bookmarkStart w:id="6" w:name="_Toc68373438"/>
      <w:bookmarkStart w:id="7" w:name="_Toc58344004"/>
      <w:r>
        <w:rPr>
          <w:rFonts w:ascii="宋体" w:hAnsi="宋体" w:hint="eastAsia"/>
          <w:bCs/>
          <w:szCs w:val="21"/>
        </w:rPr>
        <w:t>、</w:t>
      </w:r>
      <w:bookmarkStart w:id="8" w:name="_Toc14362790"/>
      <w:bookmarkStart w:id="9" w:name="_Toc38538945"/>
      <w:bookmarkEnd w:id="5"/>
      <w:bookmarkEnd w:id="6"/>
      <w:bookmarkEnd w:id="7"/>
      <w:r>
        <w:rPr>
          <w:rFonts w:ascii="宋体" w:hAnsi="宋体" w:hint="eastAsia"/>
          <w:bCs/>
          <w:szCs w:val="21"/>
        </w:rPr>
        <w:t>由评委根据投标单位的免费保修期限、保修期内服务承诺、备品备件支持、免费保修期外服务方案、以及业务支持部署和其他服务承诺，最高为</w:t>
      </w:r>
      <w:r w:rsidR="00F3565F">
        <w:rPr>
          <w:rFonts w:ascii="宋体" w:hAnsi="宋体" w:hint="eastAsia"/>
          <w:bCs/>
          <w:szCs w:val="21"/>
        </w:rPr>
        <w:t>2</w:t>
      </w:r>
      <w:r>
        <w:rPr>
          <w:rFonts w:ascii="宋体" w:hAnsi="宋体" w:hint="eastAsia"/>
          <w:bCs/>
          <w:szCs w:val="21"/>
        </w:rPr>
        <w:t>分。</w:t>
      </w:r>
      <w:bookmarkEnd w:id="8"/>
      <w:bookmarkEnd w:id="9"/>
    </w:p>
    <w:p w14:paraId="5B365208" w14:textId="77777777" w:rsidR="00E247C4" w:rsidRDefault="00E247C4" w:rsidP="00E247C4">
      <w:pPr>
        <w:pStyle w:val="a4"/>
        <w:adjustRightInd w:val="0"/>
        <w:snapToGrid w:val="0"/>
        <w:spacing w:line="360" w:lineRule="auto"/>
        <w:ind w:firstLineChars="0"/>
        <w:rPr>
          <w:rFonts w:ascii="宋体" w:hAnsi="宋体" w:cs="宋体"/>
          <w:szCs w:val="21"/>
          <w:lang w:eastAsia="zh-CN"/>
        </w:rPr>
      </w:pPr>
      <w:r>
        <w:rPr>
          <w:rFonts w:ascii="宋体" w:hAnsi="宋体" w:hint="eastAsia"/>
          <w:bCs/>
          <w:szCs w:val="21"/>
          <w:lang w:eastAsia="zh-CN"/>
        </w:rPr>
        <w:t>3、</w:t>
      </w:r>
      <w:r>
        <w:rPr>
          <w:rFonts w:ascii="宋体" w:hAnsi="宋体" w:cs="宋体" w:hint="eastAsia"/>
          <w:szCs w:val="21"/>
        </w:rPr>
        <w:t>针对本项目制定的售后服务管理体系方案，包括售后服务人员、服务机制、响应时间、故障解决等内容的合理性和可行性。进行综合评定，服务完善的得</w:t>
      </w:r>
      <w:r w:rsidR="00F3565F">
        <w:rPr>
          <w:rFonts w:ascii="宋体" w:hAnsi="宋体" w:cs="宋体" w:hint="eastAsia"/>
          <w:szCs w:val="21"/>
        </w:rPr>
        <w:t>2</w:t>
      </w:r>
      <w:r>
        <w:rPr>
          <w:rFonts w:ascii="宋体" w:hAnsi="宋体" w:cs="宋体" w:hint="eastAsia"/>
          <w:szCs w:val="21"/>
        </w:rPr>
        <w:t>分，服务比较完善的得</w:t>
      </w:r>
      <w:r w:rsidR="00F3565F">
        <w:rPr>
          <w:rFonts w:ascii="宋体" w:hAnsi="宋体" w:cs="宋体" w:hint="eastAsia"/>
          <w:szCs w:val="21"/>
        </w:rPr>
        <w:t>1</w:t>
      </w:r>
      <w:r>
        <w:rPr>
          <w:rFonts w:ascii="宋体" w:hAnsi="宋体" w:cs="宋体" w:hint="eastAsia"/>
          <w:szCs w:val="21"/>
        </w:rPr>
        <w:t>分，未描述不得分。</w:t>
      </w:r>
    </w:p>
    <w:p w14:paraId="4DF5E189" w14:textId="381AC058" w:rsidR="00671A83" w:rsidRDefault="00671A83" w:rsidP="00E247C4">
      <w:pPr>
        <w:pStyle w:val="a4"/>
        <w:adjustRightInd w:val="0"/>
        <w:snapToGrid w:val="0"/>
        <w:spacing w:line="360" w:lineRule="auto"/>
        <w:ind w:firstLineChars="0"/>
        <w:rPr>
          <w:rFonts w:ascii="宋体" w:hAnsi="宋体" w:cs="宋体"/>
          <w:szCs w:val="21"/>
          <w:lang w:eastAsia="zh-CN"/>
        </w:rPr>
      </w:pPr>
      <w:r w:rsidRPr="00671A83">
        <w:rPr>
          <w:rFonts w:ascii="宋体" w:hAnsi="宋体" w:cs="宋体"/>
          <w:szCs w:val="21"/>
        </w:rPr>
        <w:t>4、</w:t>
      </w:r>
      <w:r w:rsidRPr="00671A83">
        <w:rPr>
          <w:rFonts w:ascii="宋体" w:hAnsi="宋体" w:cs="宋体" w:hint="eastAsia"/>
          <w:szCs w:val="21"/>
        </w:rPr>
        <w:t>设备生产厂商苏州设立有</w:t>
      </w:r>
      <w:r>
        <w:rPr>
          <w:rFonts w:ascii="宋体" w:hAnsi="宋体" w:cs="宋体" w:hint="eastAsia"/>
          <w:szCs w:val="21"/>
        </w:rPr>
        <w:t>总部或者</w:t>
      </w:r>
      <w:r w:rsidRPr="00671A83">
        <w:rPr>
          <w:rFonts w:ascii="宋体" w:hAnsi="宋体" w:cs="宋体" w:hint="eastAsia"/>
          <w:szCs w:val="21"/>
        </w:rPr>
        <w:t>分公司形式的研发售后服务基地，并有原厂全系列产品的备机备件库，至少5名以上在苏州本地缴纳社保的设备生产厂家原厂工程师。最高得10分</w:t>
      </w:r>
      <w:r w:rsidR="00EE27AE">
        <w:rPr>
          <w:rFonts w:ascii="宋体" w:hAnsi="宋体" w:cs="宋体" w:hint="eastAsia"/>
          <w:szCs w:val="21"/>
          <w:lang w:eastAsia="zh-CN"/>
        </w:rPr>
        <w:t>；</w:t>
      </w:r>
    </w:p>
    <w:p w14:paraId="7551AF21" w14:textId="58F21702" w:rsidR="00EE27AE" w:rsidRPr="00671A83" w:rsidRDefault="00EE27AE" w:rsidP="00EE27AE">
      <w:pPr>
        <w:pStyle w:val="a4"/>
        <w:adjustRightInd w:val="0"/>
        <w:snapToGrid w:val="0"/>
        <w:spacing w:line="360" w:lineRule="auto"/>
        <w:rPr>
          <w:rFonts w:ascii="宋体" w:hAnsi="宋体" w:cs="宋体" w:hint="eastAsia"/>
          <w:szCs w:val="21"/>
          <w:lang w:eastAsia="zh-CN"/>
        </w:rPr>
      </w:pPr>
      <w:r>
        <w:rPr>
          <w:rFonts w:ascii="宋体" w:hAnsi="宋体" w:cs="宋体" w:hint="eastAsia"/>
          <w:szCs w:val="21"/>
          <w:lang w:eastAsia="zh-CN"/>
        </w:rPr>
        <w:t>5、由于该项目</w:t>
      </w:r>
      <w:r w:rsidRPr="00EE27AE">
        <w:rPr>
          <w:rFonts w:ascii="宋体" w:hAnsi="宋体" w:cs="宋体" w:hint="eastAsia"/>
          <w:szCs w:val="21"/>
          <w:lang w:eastAsia="zh-CN"/>
        </w:rPr>
        <w:t>后续需要比较多的支持服务，是一款长期使用的，且高频率需要原厂高级工程师深度协助分析处理网络数据的漏洞扫描产品。</w:t>
      </w:r>
      <w:r>
        <w:rPr>
          <w:rFonts w:ascii="宋体" w:hAnsi="宋体" w:cs="宋体" w:hint="eastAsia"/>
          <w:szCs w:val="21"/>
          <w:lang w:eastAsia="zh-CN"/>
        </w:rPr>
        <w:t>因此</w:t>
      </w:r>
      <w:r w:rsidRPr="00EE27AE">
        <w:rPr>
          <w:rFonts w:ascii="宋体" w:hAnsi="宋体" w:cs="宋体" w:hint="eastAsia"/>
          <w:szCs w:val="21"/>
          <w:lang w:eastAsia="zh-CN"/>
        </w:rPr>
        <w:t>需要在5年质保期内，每个季度都出相关的漏扫报告</w:t>
      </w:r>
      <w:r>
        <w:rPr>
          <w:rFonts w:ascii="宋体" w:hAnsi="宋体" w:cs="宋体" w:hint="eastAsia"/>
          <w:szCs w:val="21"/>
          <w:lang w:eastAsia="zh-CN"/>
        </w:rPr>
        <w:t>，</w:t>
      </w:r>
      <w:r w:rsidRPr="00EE27AE">
        <w:rPr>
          <w:rFonts w:ascii="宋体" w:hAnsi="宋体" w:cs="宋体" w:hint="eastAsia"/>
          <w:szCs w:val="21"/>
          <w:lang w:eastAsia="zh-CN"/>
        </w:rPr>
        <w:t>也就是20份报告</w:t>
      </w:r>
      <w:r>
        <w:rPr>
          <w:rFonts w:ascii="宋体" w:hAnsi="宋体" w:cs="宋体" w:hint="eastAsia"/>
          <w:szCs w:val="21"/>
          <w:lang w:eastAsia="zh-CN"/>
        </w:rPr>
        <w:t>。最高</w:t>
      </w:r>
      <w:r w:rsidRPr="00671A83">
        <w:rPr>
          <w:rFonts w:ascii="宋体" w:hAnsi="宋体" w:cs="宋体" w:hint="eastAsia"/>
          <w:szCs w:val="21"/>
        </w:rPr>
        <w:t>得</w:t>
      </w:r>
      <w:r>
        <w:rPr>
          <w:rFonts w:ascii="宋体" w:hAnsi="宋体" w:cs="宋体"/>
          <w:szCs w:val="21"/>
        </w:rPr>
        <w:t>6</w:t>
      </w:r>
      <w:r w:rsidRPr="00671A83">
        <w:rPr>
          <w:rFonts w:ascii="宋体" w:hAnsi="宋体" w:cs="宋体" w:hint="eastAsia"/>
          <w:szCs w:val="21"/>
        </w:rPr>
        <w:t>分</w:t>
      </w:r>
      <w:r>
        <w:rPr>
          <w:rFonts w:ascii="宋体" w:hAnsi="宋体" w:cs="宋体" w:hint="eastAsia"/>
          <w:szCs w:val="21"/>
          <w:lang w:eastAsia="zh-CN"/>
        </w:rPr>
        <w:t>；</w:t>
      </w:r>
    </w:p>
    <w:p w14:paraId="6CDA1C6F" w14:textId="5573AE2D" w:rsidR="00E247C4" w:rsidRDefault="00E247C4" w:rsidP="00E247C4">
      <w:pPr>
        <w:tabs>
          <w:tab w:val="left" w:pos="1140"/>
        </w:tabs>
        <w:spacing w:line="360" w:lineRule="auto"/>
        <w:ind w:firstLineChars="200" w:firstLine="422"/>
        <w:rPr>
          <w:rFonts w:ascii="宋体" w:hAnsi="宋体"/>
          <w:b/>
          <w:szCs w:val="21"/>
        </w:rPr>
      </w:pPr>
      <w:r>
        <w:rPr>
          <w:rFonts w:ascii="宋体" w:hAnsi="宋体" w:hint="eastAsia"/>
          <w:b/>
          <w:szCs w:val="21"/>
        </w:rPr>
        <w:t>五、投标产品生产厂家综合实力（</w:t>
      </w:r>
      <w:r w:rsidR="00EE27AE">
        <w:rPr>
          <w:rFonts w:ascii="宋体" w:hAnsi="宋体" w:hint="eastAsia"/>
          <w:b/>
          <w:szCs w:val="21"/>
        </w:rPr>
        <w:t>5</w:t>
      </w:r>
      <w:r>
        <w:rPr>
          <w:rFonts w:ascii="宋体" w:hAnsi="宋体" w:hint="eastAsia"/>
          <w:b/>
          <w:szCs w:val="21"/>
        </w:rPr>
        <w:t>分）</w:t>
      </w:r>
    </w:p>
    <w:p w14:paraId="0681BC19" w14:textId="02547DD5" w:rsidR="00E247C4" w:rsidRDefault="00E247C4" w:rsidP="00E247C4">
      <w:pPr>
        <w:spacing w:line="360" w:lineRule="auto"/>
        <w:ind w:firstLineChars="202" w:firstLine="424"/>
        <w:rPr>
          <w:rFonts w:ascii="宋体" w:hAnsi="宋体"/>
          <w:bCs/>
          <w:szCs w:val="21"/>
          <w:lang w:val="x-none"/>
        </w:rPr>
      </w:pPr>
      <w:r>
        <w:rPr>
          <w:rFonts w:ascii="宋体" w:hAnsi="宋体" w:hint="eastAsia"/>
          <w:bCs/>
          <w:szCs w:val="21"/>
          <w:lang w:val="x-none" w:eastAsia="x-none"/>
        </w:rPr>
        <w:t>（1）连续</w:t>
      </w:r>
      <w:r w:rsidR="004A7D7F">
        <w:rPr>
          <w:rFonts w:ascii="宋体" w:hAnsi="宋体" w:hint="eastAsia"/>
          <w:bCs/>
          <w:szCs w:val="21"/>
          <w:lang w:val="x-none"/>
        </w:rPr>
        <w:t>9</w:t>
      </w:r>
      <w:r>
        <w:rPr>
          <w:rFonts w:ascii="宋体" w:hAnsi="宋体" w:hint="eastAsia"/>
          <w:bCs/>
          <w:szCs w:val="21"/>
          <w:lang w:val="x-none" w:eastAsia="x-none"/>
        </w:rPr>
        <w:t>年入围Gartner魔力象限；得</w:t>
      </w:r>
      <w:r w:rsidR="00EE27AE">
        <w:rPr>
          <w:rFonts w:ascii="宋体" w:hAnsi="宋体"/>
          <w:bCs/>
          <w:szCs w:val="21"/>
          <w:lang w:val="x-none"/>
        </w:rPr>
        <w:t>3</w:t>
      </w:r>
      <w:r>
        <w:rPr>
          <w:rFonts w:ascii="宋体" w:hAnsi="宋体" w:hint="eastAsia"/>
          <w:bCs/>
          <w:szCs w:val="21"/>
          <w:lang w:val="x-none" w:eastAsia="x-none"/>
        </w:rPr>
        <w:t>分；</w:t>
      </w:r>
    </w:p>
    <w:p w14:paraId="094B7EA4" w14:textId="12A400A8" w:rsidR="00E247C4" w:rsidRDefault="00E247C4" w:rsidP="00E247C4">
      <w:pPr>
        <w:spacing w:line="360" w:lineRule="auto"/>
        <w:ind w:firstLineChars="202" w:firstLine="424"/>
        <w:rPr>
          <w:rFonts w:ascii="宋体" w:hAnsi="宋体"/>
          <w:bCs/>
          <w:szCs w:val="21"/>
          <w:lang w:val="x-none" w:eastAsia="x-none"/>
        </w:rPr>
      </w:pPr>
      <w:r>
        <w:rPr>
          <w:rFonts w:ascii="宋体" w:hAnsi="宋体" w:hint="eastAsia"/>
          <w:bCs/>
          <w:szCs w:val="21"/>
          <w:lang w:val="x-none" w:eastAsia="x-none"/>
        </w:rPr>
        <w:t>（</w:t>
      </w:r>
      <w:r w:rsidR="004A7D7F">
        <w:rPr>
          <w:rFonts w:ascii="宋体" w:hAnsi="宋体"/>
          <w:bCs/>
          <w:szCs w:val="21"/>
          <w:lang w:val="x-none" w:eastAsia="x-none"/>
        </w:rPr>
        <w:t>2</w:t>
      </w:r>
      <w:r>
        <w:rPr>
          <w:rFonts w:ascii="宋体" w:hAnsi="宋体" w:hint="eastAsia"/>
          <w:bCs/>
          <w:szCs w:val="21"/>
          <w:lang w:val="x-none" w:eastAsia="x-none"/>
        </w:rPr>
        <w:t>）入选Gartner《网络流量分析市场指南》网络安全厂商，得</w:t>
      </w:r>
      <w:r w:rsidR="00EE27AE">
        <w:rPr>
          <w:rFonts w:ascii="宋体" w:hAnsi="宋体" w:hint="eastAsia"/>
          <w:bCs/>
          <w:szCs w:val="21"/>
          <w:lang w:val="x-none"/>
        </w:rPr>
        <w:t>1</w:t>
      </w:r>
      <w:r>
        <w:rPr>
          <w:rFonts w:ascii="宋体" w:hAnsi="宋体" w:hint="eastAsia"/>
          <w:bCs/>
          <w:szCs w:val="21"/>
          <w:lang w:val="x-none" w:eastAsia="x-none"/>
        </w:rPr>
        <w:t>分；</w:t>
      </w:r>
    </w:p>
    <w:p w14:paraId="30461440" w14:textId="4FACD877" w:rsidR="00E247C4" w:rsidRDefault="00E247C4" w:rsidP="00E247C4">
      <w:pPr>
        <w:spacing w:line="360" w:lineRule="auto"/>
        <w:ind w:firstLineChars="202" w:firstLine="424"/>
        <w:rPr>
          <w:rFonts w:ascii="宋体" w:hAnsi="宋体"/>
          <w:bCs/>
          <w:szCs w:val="21"/>
          <w:lang w:val="x-none" w:eastAsia="x-none"/>
        </w:rPr>
      </w:pPr>
      <w:r>
        <w:rPr>
          <w:rFonts w:ascii="宋体" w:hAnsi="宋体" w:hint="eastAsia"/>
          <w:bCs/>
          <w:szCs w:val="21"/>
          <w:lang w:val="x-none" w:eastAsia="x-none"/>
        </w:rPr>
        <w:t>（</w:t>
      </w:r>
      <w:r w:rsidR="004A7D7F">
        <w:rPr>
          <w:rFonts w:ascii="宋体" w:hAnsi="宋体" w:hint="eastAsia"/>
          <w:bCs/>
          <w:szCs w:val="21"/>
          <w:lang w:val="x-none"/>
        </w:rPr>
        <w:t>3</w:t>
      </w:r>
      <w:r>
        <w:rPr>
          <w:rFonts w:ascii="宋体" w:hAnsi="宋体" w:hint="eastAsia"/>
          <w:bCs/>
          <w:szCs w:val="21"/>
          <w:lang w:val="x-none" w:eastAsia="x-none"/>
        </w:rPr>
        <w:t>）入选国家信息安全漏洞库支撑单位，得</w:t>
      </w:r>
      <w:r w:rsidR="00EE27AE">
        <w:rPr>
          <w:rFonts w:ascii="宋体" w:hAnsi="宋体"/>
          <w:bCs/>
          <w:szCs w:val="21"/>
          <w:lang w:val="x-none" w:eastAsia="x-none"/>
        </w:rPr>
        <w:t>1</w:t>
      </w:r>
      <w:r>
        <w:rPr>
          <w:rFonts w:ascii="宋体" w:hAnsi="宋体" w:hint="eastAsia"/>
          <w:bCs/>
          <w:szCs w:val="21"/>
          <w:lang w:val="x-none" w:eastAsia="x-none"/>
        </w:rPr>
        <w:t>分。</w:t>
      </w:r>
    </w:p>
    <w:p w14:paraId="2DD65C8D" w14:textId="77777777" w:rsidR="00671A83" w:rsidRDefault="00671A83" w:rsidP="00E247C4">
      <w:pPr>
        <w:spacing w:line="360" w:lineRule="auto"/>
        <w:ind w:firstLineChars="202" w:firstLine="424"/>
        <w:rPr>
          <w:rFonts w:ascii="宋体" w:hAnsi="宋体"/>
          <w:bCs/>
          <w:szCs w:val="21"/>
          <w:lang w:val="x-none"/>
        </w:rPr>
      </w:pPr>
    </w:p>
    <w:p w14:paraId="13A969FD" w14:textId="77777777" w:rsidR="00A244F5" w:rsidRPr="00E247C4" w:rsidRDefault="00A244F5">
      <w:pPr>
        <w:rPr>
          <w:lang w:val="x-none"/>
        </w:rPr>
      </w:pPr>
    </w:p>
    <w:sectPr w:rsidR="00A244F5" w:rsidRPr="00E247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160"/>
    <w:rsid w:val="004A7D7F"/>
    <w:rsid w:val="00671A83"/>
    <w:rsid w:val="00A244F5"/>
    <w:rsid w:val="00E247C4"/>
    <w:rsid w:val="00EA4160"/>
    <w:rsid w:val="00EE27AE"/>
    <w:rsid w:val="00F35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76A2C"/>
  <w15:docId w15:val="{A3B243FE-7648-4054-8DDD-288B4588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7C4"/>
    <w:pPr>
      <w:widowControl w:val="0"/>
      <w:jc w:val="both"/>
    </w:pPr>
    <w:rPr>
      <w:rFonts w:ascii="Times New Roman" w:eastAsia="宋体" w:hAnsi="Times New Roman" w:cs="Times New Roman"/>
      <w:szCs w:val="24"/>
    </w:rPr>
  </w:style>
  <w:style w:type="paragraph" w:styleId="1">
    <w:name w:val="heading 1"/>
    <w:basedOn w:val="a"/>
    <w:next w:val="a"/>
    <w:link w:val="10"/>
    <w:qFormat/>
    <w:rsid w:val="00E247C4"/>
    <w:pPr>
      <w:keepNext/>
      <w:keepLines/>
      <w:spacing w:before="340" w:after="330" w:line="576" w:lineRule="auto"/>
      <w:outlineLvl w:val="0"/>
    </w:pPr>
    <w:rPr>
      <w:rFonts w:eastAsia="楷体_GB2312"/>
      <w:b/>
      <w:kern w:val="44"/>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E247C4"/>
    <w:rPr>
      <w:rFonts w:ascii="Times New Roman" w:eastAsia="楷体_GB2312" w:hAnsi="Times New Roman" w:cs="Times New Roman"/>
      <w:b/>
      <w:kern w:val="44"/>
      <w:sz w:val="44"/>
      <w:szCs w:val="20"/>
      <w:lang w:val="x-none" w:eastAsia="x-none"/>
    </w:rPr>
  </w:style>
  <w:style w:type="character" w:customStyle="1" w:styleId="a3">
    <w:name w:val="列表段落 字符"/>
    <w:link w:val="a4"/>
    <w:uiPriority w:val="34"/>
    <w:qFormat/>
    <w:locked/>
    <w:rsid w:val="00E247C4"/>
    <w:rPr>
      <w:szCs w:val="24"/>
      <w:lang w:val="x-none" w:eastAsia="x-none"/>
    </w:rPr>
  </w:style>
  <w:style w:type="paragraph" w:styleId="a4">
    <w:name w:val="List Paragraph"/>
    <w:basedOn w:val="a"/>
    <w:link w:val="a3"/>
    <w:uiPriority w:val="34"/>
    <w:qFormat/>
    <w:rsid w:val="00E247C4"/>
    <w:pPr>
      <w:ind w:firstLineChars="200" w:firstLine="420"/>
    </w:pPr>
    <w:rPr>
      <w:rFonts w:asciiTheme="minorHAnsi" w:eastAsiaTheme="minorEastAsia" w:hAnsiTheme="minorHAnsi" w:cstheme="minorBidi"/>
      <w:lang w:val="x-none" w:eastAsia="x-none"/>
    </w:rPr>
  </w:style>
  <w:style w:type="character" w:customStyle="1" w:styleId="AndyChar">
    <w:name w:val="Andy Char"/>
    <w:link w:val="Andy"/>
    <w:locked/>
    <w:rsid w:val="00E247C4"/>
    <w:rPr>
      <w:rFonts w:ascii="宋体" w:eastAsia="宋体" w:hAnsi="宋体"/>
      <w:sz w:val="22"/>
    </w:rPr>
  </w:style>
  <w:style w:type="paragraph" w:customStyle="1" w:styleId="Andy">
    <w:name w:val="Andy"/>
    <w:basedOn w:val="a"/>
    <w:link w:val="AndyChar"/>
    <w:qFormat/>
    <w:rsid w:val="00E247C4"/>
    <w:pPr>
      <w:spacing w:line="360" w:lineRule="auto"/>
      <w:ind w:firstLineChars="200" w:firstLine="440"/>
    </w:pPr>
    <w:rPr>
      <w:rFonts w:ascii="宋体" w:hAnsi="宋体"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62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linbo he</dc:creator>
  <cp:lastModifiedBy>he linbo</cp:lastModifiedBy>
  <cp:revision>4</cp:revision>
  <dcterms:created xsi:type="dcterms:W3CDTF">2023-03-22T15:46:00Z</dcterms:created>
  <dcterms:modified xsi:type="dcterms:W3CDTF">2023-03-31T02:03:00Z</dcterms:modified>
</cp:coreProperties>
</file>