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86610" w14:textId="4AF2F69D" w:rsidR="00895235" w:rsidRPr="00895235" w:rsidRDefault="002318FD" w:rsidP="00895235">
      <w:pPr>
        <w:pStyle w:val="1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895235" w:rsidRPr="00895235">
        <w:rPr>
          <w:rFonts w:hint="eastAsia"/>
          <w:sz w:val="28"/>
          <w:szCs w:val="28"/>
        </w:rPr>
        <w:t>、</w:t>
      </w:r>
      <w:r w:rsidR="00895235">
        <w:rPr>
          <w:sz w:val="28"/>
          <w:szCs w:val="28"/>
        </w:rPr>
        <w:t>48</w:t>
      </w:r>
      <w:r w:rsidR="00895235" w:rsidRPr="00895235">
        <w:rPr>
          <w:rFonts w:hint="eastAsia"/>
          <w:sz w:val="28"/>
          <w:szCs w:val="28"/>
        </w:rPr>
        <w:t>口接入交换机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919"/>
      </w:tblGrid>
      <w:tr w:rsidR="00DE1FD9" w:rsidRPr="0020086D" w14:paraId="049F5C12" w14:textId="77777777" w:rsidTr="00CD2303">
        <w:trPr>
          <w:trHeight w:val="109"/>
        </w:trPr>
        <w:tc>
          <w:tcPr>
            <w:tcW w:w="1440" w:type="dxa"/>
            <w:shd w:val="clear" w:color="auto" w:fill="auto"/>
            <w:vAlign w:val="center"/>
            <w:hideMark/>
          </w:tcPr>
          <w:p w14:paraId="407E49C1" w14:textId="77777777" w:rsidR="00DE1FD9" w:rsidRPr="0020086D" w:rsidRDefault="00DE1FD9" w:rsidP="002823DA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47E05811" w14:textId="77777777" w:rsidR="00DE1FD9" w:rsidRPr="0020086D" w:rsidRDefault="00DE1FD9" w:rsidP="002823DA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参数要求</w:t>
            </w:r>
          </w:p>
        </w:tc>
      </w:tr>
      <w:tr w:rsidR="00DE1FD9" w:rsidRPr="0020086D" w14:paraId="46490C7B" w14:textId="77777777" w:rsidTr="00CD2303">
        <w:trPr>
          <w:trHeight w:val="50"/>
        </w:trPr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14:paraId="709BD47C" w14:textId="77777777" w:rsidR="00DE1FD9" w:rsidRPr="0020086D" w:rsidRDefault="00DE1FD9" w:rsidP="002823DA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整体性能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253390DC" w14:textId="50480C01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kern w:val="0"/>
                <w:szCs w:val="21"/>
              </w:rPr>
              <w:t>★交换容量≥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Cs w:val="21"/>
              </w:rPr>
              <w:t>32</w:t>
            </w:r>
            <w:r w:rsidRPr="0020086D">
              <w:rPr>
                <w:rFonts w:ascii="宋体" w:eastAsia="宋体" w:hAnsi="宋体" w:cs="宋体" w:hint="eastAsia"/>
                <w:kern w:val="0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20086D">
              <w:rPr>
                <w:rFonts w:ascii="宋体" w:eastAsia="宋体" w:hAnsi="宋体" w:cs="宋体" w:hint="eastAsia"/>
                <w:kern w:val="0"/>
                <w:szCs w:val="21"/>
              </w:rPr>
              <w:t>包转发率≥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>44</w:t>
            </w:r>
            <w:r w:rsidRPr="0020086D">
              <w:rPr>
                <w:rFonts w:ascii="宋体" w:eastAsia="宋体" w:hAnsi="宋体" w:cs="宋体" w:hint="eastAsia"/>
                <w:kern w:val="0"/>
                <w:szCs w:val="21"/>
              </w:rPr>
              <w:t>Mpps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以官网最小值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为准，提供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图）</w:t>
            </w:r>
          </w:p>
        </w:tc>
      </w:tr>
      <w:tr w:rsidR="00DE1FD9" w:rsidRPr="0020086D" w14:paraId="270B42E6" w14:textId="77777777" w:rsidTr="00CD2303">
        <w:trPr>
          <w:trHeight w:val="290"/>
        </w:trPr>
        <w:tc>
          <w:tcPr>
            <w:tcW w:w="1440" w:type="dxa"/>
            <w:vMerge/>
            <w:vAlign w:val="center"/>
            <w:hideMark/>
          </w:tcPr>
          <w:p w14:paraId="7B70AC3D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2C8C8D08" w14:textId="27D20AC1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DE1FD9">
              <w:rPr>
                <w:rFonts w:ascii="宋体" w:eastAsia="宋体" w:hAnsi="宋体" w:cs="宋体" w:hint="eastAsia"/>
                <w:kern w:val="0"/>
                <w:szCs w:val="21"/>
              </w:rPr>
              <w:t>固化</w:t>
            </w:r>
            <w:r w:rsidRPr="00DE1FD9">
              <w:rPr>
                <w:rFonts w:ascii="宋体" w:eastAsia="宋体" w:hAnsi="宋体" w:cs="宋体"/>
                <w:kern w:val="0"/>
                <w:szCs w:val="21"/>
              </w:rPr>
              <w:t>10/100/1000M以太网端口≥48，固化10G/1G SFP+光接口≥4个</w:t>
            </w:r>
          </w:p>
        </w:tc>
      </w:tr>
      <w:tr w:rsidR="00DE1FD9" w:rsidRPr="0020086D" w14:paraId="5AFBE8B3" w14:textId="77777777" w:rsidTr="00CD2303">
        <w:trPr>
          <w:trHeight w:val="806"/>
        </w:trPr>
        <w:tc>
          <w:tcPr>
            <w:tcW w:w="1440" w:type="dxa"/>
            <w:vMerge/>
            <w:vAlign w:val="center"/>
            <w:hideMark/>
          </w:tcPr>
          <w:p w14:paraId="761246F8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36399AFF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★为保证设备在受到外界机械碰撞时能够正常运行，要求所投交换机IK防护测试级别至少达到IK05，提供具有 CMA或CAL或 CNAS认证章的测试报告以及检测</w:t>
            </w:r>
            <w:proofErr w:type="gramStart"/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机构官网查询</w:t>
            </w:r>
            <w:proofErr w:type="gramEnd"/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截图并加盖产品厂商公章或招投标专用章</w:t>
            </w:r>
          </w:p>
        </w:tc>
      </w:tr>
      <w:tr w:rsidR="00DE1FD9" w:rsidRPr="0020086D" w14:paraId="530AD23B" w14:textId="77777777" w:rsidTr="00CD2303">
        <w:trPr>
          <w:trHeight w:val="290"/>
        </w:trPr>
        <w:tc>
          <w:tcPr>
            <w:tcW w:w="1440" w:type="dxa"/>
            <w:vMerge/>
            <w:vAlign w:val="center"/>
            <w:hideMark/>
          </w:tcPr>
          <w:p w14:paraId="0D1B007C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5FEE4646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要求所投设备MAC地址≥16K</w:t>
            </w:r>
          </w:p>
        </w:tc>
      </w:tr>
      <w:tr w:rsidR="00DE1FD9" w:rsidRPr="0020086D" w14:paraId="2E0736C8" w14:textId="77777777" w:rsidTr="00CD2303">
        <w:trPr>
          <w:trHeight w:val="870"/>
        </w:trPr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14:paraId="7F4FA9DD" w14:textId="77777777" w:rsidR="00DE1FD9" w:rsidRPr="0020086D" w:rsidRDefault="00DE1FD9" w:rsidP="002823DA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软件功能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2E3478B3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支持生成</w:t>
            </w:r>
            <w:proofErr w:type="gramStart"/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树协议</w:t>
            </w:r>
            <w:proofErr w:type="gramEnd"/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STP(IEEE 802.1d)，RSTP(IEEE 802.1w)和MSTP(IEEE 802.1s)，完全保证快速收敛，提高容错能力，保证网络的稳定运行和链路的负载均衡，合理使用网络通道，提供冗余链路利用率。</w:t>
            </w:r>
          </w:p>
        </w:tc>
      </w:tr>
      <w:tr w:rsidR="00DE1FD9" w:rsidRPr="0020086D" w14:paraId="290E1DD1" w14:textId="77777777" w:rsidTr="00CD2303">
        <w:trPr>
          <w:trHeight w:val="290"/>
        </w:trPr>
        <w:tc>
          <w:tcPr>
            <w:tcW w:w="1440" w:type="dxa"/>
            <w:vMerge/>
            <w:vAlign w:val="center"/>
            <w:hideMark/>
          </w:tcPr>
          <w:p w14:paraId="65CD62A2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134DC1BD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支持IPV4/IPV6静态路由</w:t>
            </w:r>
          </w:p>
        </w:tc>
      </w:tr>
      <w:tr w:rsidR="00DE1FD9" w:rsidRPr="0020086D" w14:paraId="5E9604E3" w14:textId="77777777" w:rsidTr="00CD2303">
        <w:trPr>
          <w:trHeight w:val="870"/>
        </w:trPr>
        <w:tc>
          <w:tcPr>
            <w:tcW w:w="1440" w:type="dxa"/>
            <w:vMerge/>
            <w:vAlign w:val="center"/>
            <w:hideMark/>
          </w:tcPr>
          <w:p w14:paraId="1D9AB092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52749C1E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支持特有的CPU保护策略，对发往CPU的数据流，进行流区分和优先级队列分级处理，并根据需要实施带宽限速，充分保护CPU不被非法流量占用、恶意攻击和资源消耗</w:t>
            </w:r>
          </w:p>
        </w:tc>
      </w:tr>
      <w:tr w:rsidR="00DE1FD9" w:rsidRPr="0020086D" w14:paraId="2D2E9BB3" w14:textId="77777777" w:rsidTr="00CD2303">
        <w:trPr>
          <w:trHeight w:val="870"/>
        </w:trPr>
        <w:tc>
          <w:tcPr>
            <w:tcW w:w="1440" w:type="dxa"/>
            <w:vMerge/>
            <w:vAlign w:val="center"/>
            <w:hideMark/>
          </w:tcPr>
          <w:p w14:paraId="3C465813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71ADA20C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支持基础网络保护策略，能够限制用户向网络中发送ARP报文、ICMP请求报文、DHCP请求报文等数据包的数率，对超过限速阈值的报文进行丢弃处理，甚至能够识别攻击行为，对有攻击行为的用户进行隔离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</w:t>
            </w:r>
          </w:p>
        </w:tc>
      </w:tr>
      <w:tr w:rsidR="00DE1FD9" w:rsidRPr="0020086D" w14:paraId="313A62F2" w14:textId="77777777" w:rsidTr="00CD2303">
        <w:trPr>
          <w:trHeight w:val="870"/>
        </w:trPr>
        <w:tc>
          <w:tcPr>
            <w:tcW w:w="1440" w:type="dxa"/>
            <w:vMerge/>
            <w:vAlign w:val="center"/>
            <w:hideMark/>
          </w:tcPr>
          <w:p w14:paraId="7017E6E2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60016988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支持快速链路检测协议RLDP，可快速检测链路的通断和光纤链路的单向性，并支持端口下的环路检测功能，防止端口下因私接Hub等设备形成的环路而导致网络故障的现象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</w:t>
            </w:r>
          </w:p>
        </w:tc>
      </w:tr>
      <w:tr w:rsidR="00DE1FD9" w:rsidRPr="0020086D" w14:paraId="262A9C22" w14:textId="77777777" w:rsidTr="00CD2303">
        <w:trPr>
          <w:trHeight w:val="50"/>
        </w:trPr>
        <w:tc>
          <w:tcPr>
            <w:tcW w:w="1440" w:type="dxa"/>
            <w:shd w:val="clear" w:color="auto" w:fill="auto"/>
            <w:vAlign w:val="center"/>
            <w:hideMark/>
          </w:tcPr>
          <w:p w14:paraId="27F29DE8" w14:textId="5812C7DC" w:rsidR="00DE1FD9" w:rsidRPr="0020086D" w:rsidRDefault="006023CB" w:rsidP="002823DA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="00DE1FD9"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管理特性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21A08568" w14:textId="69CC2776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设备自带</w:t>
            </w:r>
            <w:proofErr w:type="gramStart"/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云管理</w:t>
            </w:r>
            <w:proofErr w:type="gramEnd"/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功能，即插即用，可随时查看网络健康度，告警及时推送，有日记事件供回溯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，提供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</w:t>
            </w:r>
          </w:p>
        </w:tc>
      </w:tr>
      <w:tr w:rsidR="00DE1FD9" w:rsidRPr="0020086D" w14:paraId="6C5FA3F5" w14:textId="77777777" w:rsidTr="00CD2303">
        <w:trPr>
          <w:trHeight w:val="404"/>
        </w:trPr>
        <w:tc>
          <w:tcPr>
            <w:tcW w:w="1440" w:type="dxa"/>
            <w:shd w:val="clear" w:color="auto" w:fill="auto"/>
            <w:vAlign w:val="center"/>
            <w:hideMark/>
          </w:tcPr>
          <w:p w14:paraId="4BB4846A" w14:textId="77777777" w:rsidR="00DE1FD9" w:rsidRPr="0020086D" w:rsidRDefault="00DE1FD9" w:rsidP="002823DA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资质证书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14:paraId="6748BBF5" w14:textId="77777777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kern w:val="0"/>
                <w:szCs w:val="21"/>
              </w:rPr>
              <w:t>提供工信部设备进网许可证；并且入网许可证须提供工信</w:t>
            </w:r>
            <w:proofErr w:type="gramStart"/>
            <w:r w:rsidRPr="0020086D">
              <w:rPr>
                <w:rFonts w:ascii="宋体" w:eastAsia="宋体" w:hAnsi="宋体" w:cs="宋体" w:hint="eastAsia"/>
                <w:kern w:val="0"/>
                <w:szCs w:val="21"/>
              </w:rPr>
              <w:t>部官网</w:t>
            </w:r>
            <w:proofErr w:type="gramEnd"/>
            <w:r w:rsidRPr="0020086D">
              <w:rPr>
                <w:rFonts w:ascii="宋体" w:eastAsia="宋体" w:hAnsi="宋体" w:cs="宋体" w:hint="eastAsia"/>
                <w:kern w:val="0"/>
                <w:szCs w:val="21"/>
              </w:rPr>
              <w:t>查询结果截图及链接</w:t>
            </w:r>
          </w:p>
        </w:tc>
      </w:tr>
      <w:tr w:rsidR="00DE1FD9" w:rsidRPr="0020086D" w14:paraId="44A27C8D" w14:textId="77777777" w:rsidTr="00CD2303">
        <w:trPr>
          <w:trHeight w:val="404"/>
        </w:trPr>
        <w:tc>
          <w:tcPr>
            <w:tcW w:w="1440" w:type="dxa"/>
            <w:shd w:val="clear" w:color="auto" w:fill="auto"/>
            <w:vAlign w:val="center"/>
          </w:tcPr>
          <w:p w14:paraId="2C21D4CF" w14:textId="77777777" w:rsidR="00DE1FD9" w:rsidRDefault="00DE1FD9" w:rsidP="002823DA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配置要求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28EDC4C5" w14:textId="0E9BC839" w:rsidR="00DE1FD9" w:rsidRPr="0020086D" w:rsidRDefault="00DE1FD9" w:rsidP="002823DA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本次配置4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，4个万兆光口，为了保证系统的稳定性和兼容性，须与汇聚交换机同一品牌。</w:t>
            </w:r>
          </w:p>
        </w:tc>
      </w:tr>
    </w:tbl>
    <w:p w14:paraId="25B6C69C" w14:textId="1DEFC11B" w:rsidR="00FB2BB7" w:rsidRPr="00895235" w:rsidRDefault="002318FD" w:rsidP="00FB2BB7">
      <w:pPr>
        <w:pStyle w:val="1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B2BB7" w:rsidRPr="00895235">
        <w:rPr>
          <w:rFonts w:hint="eastAsia"/>
          <w:sz w:val="28"/>
          <w:szCs w:val="28"/>
        </w:rPr>
        <w:t>、</w:t>
      </w:r>
      <w:r w:rsidR="00FB2BB7">
        <w:rPr>
          <w:rFonts w:hint="eastAsia"/>
          <w:sz w:val="28"/>
          <w:szCs w:val="28"/>
        </w:rPr>
        <w:t>汇聚</w:t>
      </w:r>
      <w:r w:rsidR="00FB2BB7" w:rsidRPr="00895235">
        <w:rPr>
          <w:rFonts w:hint="eastAsia"/>
          <w:sz w:val="28"/>
          <w:szCs w:val="28"/>
        </w:rPr>
        <w:t>交换机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946"/>
      </w:tblGrid>
      <w:tr w:rsidR="00CD2303" w:rsidRPr="00CD2303" w14:paraId="4A016D5A" w14:textId="77777777" w:rsidTr="00CD2303">
        <w:trPr>
          <w:trHeight w:val="90"/>
        </w:trPr>
        <w:tc>
          <w:tcPr>
            <w:tcW w:w="1413" w:type="dxa"/>
            <w:shd w:val="clear" w:color="auto" w:fill="auto"/>
            <w:vAlign w:val="center"/>
            <w:hideMark/>
          </w:tcPr>
          <w:p w14:paraId="1817B5C9" w14:textId="77777777" w:rsidR="00CD2303" w:rsidRPr="00CD2303" w:rsidRDefault="00CD2303" w:rsidP="00CD2303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60A58C3A" w14:textId="77777777" w:rsidR="00CD2303" w:rsidRPr="00CD2303" w:rsidRDefault="00CD2303" w:rsidP="00CD2303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参数要求</w:t>
            </w:r>
          </w:p>
        </w:tc>
      </w:tr>
      <w:tr w:rsidR="00CD2303" w:rsidRPr="00CD2303" w14:paraId="3A483797" w14:textId="77777777" w:rsidTr="00CD2303">
        <w:trPr>
          <w:trHeight w:val="193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33CCFF32" w14:textId="6D00C63B" w:rsidR="00CD2303" w:rsidRPr="00CD2303" w:rsidRDefault="00CD2303" w:rsidP="00CD2303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整体性能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5A66F169" w14:textId="016DA6B1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★交换容量≥880Gbps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包转发率≥426Mpps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以官网最小值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为准，提供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图）</w:t>
            </w:r>
          </w:p>
        </w:tc>
      </w:tr>
      <w:tr w:rsidR="00CD2303" w:rsidRPr="00CD2303" w14:paraId="2D819D55" w14:textId="77777777" w:rsidTr="00CD2303">
        <w:trPr>
          <w:trHeight w:val="386"/>
        </w:trPr>
        <w:tc>
          <w:tcPr>
            <w:tcW w:w="1413" w:type="dxa"/>
            <w:vMerge/>
            <w:vAlign w:val="center"/>
            <w:hideMark/>
          </w:tcPr>
          <w:p w14:paraId="57939CE8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54F74792" w14:textId="65333009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★固化24个1000M SFP光口，8个复用的10/100/1000Mbps电口，8个1G/10G SFP+光口</w:t>
            </w:r>
            <w:r w:rsidR="00256117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支持在64Bytes-1518Bytes下线速转发，投标时提供具有 CMA或CAL或 CNAS认证章的第三方权威机构检验报告证明。</w:t>
            </w:r>
          </w:p>
        </w:tc>
      </w:tr>
      <w:tr w:rsidR="00CD2303" w:rsidRPr="00CD2303" w14:paraId="570DB076" w14:textId="77777777" w:rsidTr="00CD2303">
        <w:trPr>
          <w:trHeight w:val="159"/>
        </w:trPr>
        <w:tc>
          <w:tcPr>
            <w:tcW w:w="1413" w:type="dxa"/>
            <w:vMerge/>
            <w:vAlign w:val="center"/>
            <w:hideMark/>
          </w:tcPr>
          <w:p w14:paraId="607D91EE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4C543F50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整机采用绿色环保设计，满负荷情况下功耗≤77W，要求提供</w:t>
            </w:r>
            <w:proofErr w:type="gramStart"/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官网截</w:t>
            </w:r>
            <w:proofErr w:type="gramEnd"/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图。</w:t>
            </w:r>
          </w:p>
        </w:tc>
      </w:tr>
      <w:tr w:rsidR="00CD2303" w:rsidRPr="00CD2303" w14:paraId="3083DB91" w14:textId="77777777" w:rsidTr="00CD2303">
        <w:trPr>
          <w:trHeight w:val="262"/>
        </w:trPr>
        <w:tc>
          <w:tcPr>
            <w:tcW w:w="1413" w:type="dxa"/>
            <w:vMerge/>
            <w:vAlign w:val="center"/>
            <w:hideMark/>
          </w:tcPr>
          <w:p w14:paraId="433774E3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418BF006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★要求所投设备MAC地址≥196K，路由表项≥64K，投标时提供具有 CMA或CAL或 CNAS认证章的第三方权威机构检验报告证明。</w:t>
            </w:r>
          </w:p>
        </w:tc>
      </w:tr>
      <w:tr w:rsidR="00CD2303" w:rsidRPr="00CD2303" w14:paraId="68024C57" w14:textId="77777777" w:rsidTr="00CD2303">
        <w:trPr>
          <w:trHeight w:val="329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4D8B04CB" w14:textId="77777777" w:rsidR="00CD2303" w:rsidRPr="00CD2303" w:rsidRDefault="00CD2303" w:rsidP="00CD2303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基本功能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6943C5A5" w14:textId="3A07032B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支持RIPv2，OSPFv2/v3，BGP4/4+，IS-ISv4/v6 </w:t>
            </w:r>
          </w:p>
        </w:tc>
      </w:tr>
      <w:tr w:rsidR="00CD2303" w:rsidRPr="00CD2303" w14:paraId="09319E92" w14:textId="77777777" w:rsidTr="00CD2303">
        <w:trPr>
          <w:trHeight w:val="126"/>
        </w:trPr>
        <w:tc>
          <w:tcPr>
            <w:tcW w:w="1413" w:type="dxa"/>
            <w:vMerge/>
            <w:vAlign w:val="center"/>
            <w:hideMark/>
          </w:tcPr>
          <w:p w14:paraId="3B379A0B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5F1D7C2C" w14:textId="3A116B9A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支持IGMP v1/v2/v3，PIM-SM等组播协议</w:t>
            </w:r>
          </w:p>
        </w:tc>
      </w:tr>
      <w:tr w:rsidR="00CD2303" w:rsidRPr="00CD2303" w14:paraId="689F7154" w14:textId="77777777" w:rsidTr="00CD2303">
        <w:trPr>
          <w:trHeight w:val="50"/>
        </w:trPr>
        <w:tc>
          <w:tcPr>
            <w:tcW w:w="1413" w:type="dxa"/>
            <w:vMerge/>
            <w:vAlign w:val="center"/>
            <w:hideMark/>
          </w:tcPr>
          <w:p w14:paraId="4F9D00CF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5534E0C3" w14:textId="4F1090A4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支持基于IPv4/IPv6</w:t>
            </w:r>
            <w:proofErr w:type="gramStart"/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</w:t>
            </w:r>
            <w:proofErr w:type="gramEnd"/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元组、</w:t>
            </w:r>
            <w:proofErr w:type="gramStart"/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基于源</w:t>
            </w:r>
            <w:proofErr w:type="gramEnd"/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/目的MAC、基于VLAN、基于802.1P优先级的ACL </w:t>
            </w:r>
          </w:p>
        </w:tc>
      </w:tr>
      <w:tr w:rsidR="00CD2303" w:rsidRPr="00CD2303" w14:paraId="64EEC559" w14:textId="77777777" w:rsidTr="00CD2303">
        <w:trPr>
          <w:trHeight w:val="870"/>
        </w:trPr>
        <w:tc>
          <w:tcPr>
            <w:tcW w:w="1413" w:type="dxa"/>
            <w:vMerge/>
            <w:vAlign w:val="center"/>
            <w:hideMark/>
          </w:tcPr>
          <w:p w14:paraId="47CB9136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678E9B75" w14:textId="3E32D234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 xml:space="preserve">支持特有的CPU保护策略，对发往CPU的数据流，进行流区分和优先级队列分级处理，并根据需要实施带宽限速，充分保护CPU不被非法流量占用、恶意攻击和资源消耗 </w:t>
            </w:r>
          </w:p>
        </w:tc>
      </w:tr>
      <w:tr w:rsidR="00CD2303" w:rsidRPr="00CD2303" w14:paraId="05831876" w14:textId="77777777" w:rsidTr="00CD2303">
        <w:trPr>
          <w:trHeight w:val="870"/>
        </w:trPr>
        <w:tc>
          <w:tcPr>
            <w:tcW w:w="1413" w:type="dxa"/>
            <w:vMerge/>
            <w:vAlign w:val="center"/>
            <w:hideMark/>
          </w:tcPr>
          <w:p w14:paraId="3715CC1D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5A4433C6" w14:textId="00C5623E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★支持硬件</w:t>
            </w:r>
            <w:proofErr w:type="gramStart"/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层级双</w:t>
            </w:r>
            <w:proofErr w:type="gramEnd"/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boot，采用两个FLASH芯片存储boot软件（系统引导程序），实现硬件级boot冗余备份，避免因FLASH芯片故障导致交换机无法启动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，提供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图</w:t>
            </w:r>
          </w:p>
        </w:tc>
      </w:tr>
      <w:tr w:rsidR="00CD2303" w:rsidRPr="00CD2303" w14:paraId="18964315" w14:textId="77777777" w:rsidTr="006D122C">
        <w:trPr>
          <w:trHeight w:val="558"/>
        </w:trPr>
        <w:tc>
          <w:tcPr>
            <w:tcW w:w="1413" w:type="dxa"/>
            <w:vMerge/>
            <w:vAlign w:val="center"/>
            <w:hideMark/>
          </w:tcPr>
          <w:p w14:paraId="114E1F11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7D0A8B7D" w14:textId="76A7EF3D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支持基础网络保护策略，限制用户向网络中发送ARP报文、ICMP请求报文、DHCP请求报文的数率，对超过限速阈值的报文进行丢弃处理，能够识别攻击行为，对有攻击行为的用户进行隔离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，提供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图</w:t>
            </w:r>
          </w:p>
        </w:tc>
      </w:tr>
      <w:tr w:rsidR="00CD2303" w:rsidRPr="00CD2303" w14:paraId="4EFD6F94" w14:textId="77777777" w:rsidTr="00CD2303">
        <w:trPr>
          <w:trHeight w:val="132"/>
        </w:trPr>
        <w:tc>
          <w:tcPr>
            <w:tcW w:w="1413" w:type="dxa"/>
            <w:vMerge/>
            <w:vAlign w:val="center"/>
            <w:hideMark/>
          </w:tcPr>
          <w:p w14:paraId="57983C18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64638CB" w14:textId="7AD7678A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支持基于流的采样功能，对所选数据流包头中的源IP地址、目的IP地址、协议号、源端口号、包长等信息进行采样，并发送至网管主机，投标时提供具有 CMA或CAL或 CNAS认证章的第三方权威机构检验报告证明。</w:t>
            </w:r>
          </w:p>
        </w:tc>
      </w:tr>
      <w:tr w:rsidR="00CD2303" w:rsidRPr="00CD2303" w14:paraId="05D8231C" w14:textId="77777777" w:rsidTr="00CD2303">
        <w:trPr>
          <w:trHeight w:val="316"/>
        </w:trPr>
        <w:tc>
          <w:tcPr>
            <w:tcW w:w="1413" w:type="dxa"/>
            <w:vMerge/>
            <w:vAlign w:val="center"/>
            <w:hideMark/>
          </w:tcPr>
          <w:p w14:paraId="6BAE6491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1C550CC8" w14:textId="35306B2E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支持虚拟化功能，可将多台物理设备虚拟化为一台逻辑设备统一管理，并且链路故障的收敛时间达到毫秒级 </w:t>
            </w:r>
          </w:p>
        </w:tc>
      </w:tr>
      <w:tr w:rsidR="00CD2303" w:rsidRPr="00CD2303" w14:paraId="2916BD43" w14:textId="77777777" w:rsidTr="00CD2303">
        <w:trPr>
          <w:trHeight w:val="580"/>
        </w:trPr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14:paraId="4FC7A377" w14:textId="77777777" w:rsidR="00CD2303" w:rsidRPr="00CD2303" w:rsidRDefault="00CD2303" w:rsidP="00CD2303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产品资质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8D6F235" w14:textId="3291296B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提供工信部三层交换机进网许可证,并且入网许可证须提供工信</w:t>
            </w:r>
            <w:proofErr w:type="gramStart"/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部官网</w:t>
            </w:r>
            <w:proofErr w:type="gramEnd"/>
            <w:r w:rsidRPr="00CD23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查询结果截图及链接（标明是三层交换机入网证）</w:t>
            </w:r>
          </w:p>
        </w:tc>
      </w:tr>
      <w:tr w:rsidR="00CD2303" w:rsidRPr="00CD2303" w14:paraId="2B5FAB2C" w14:textId="77777777" w:rsidTr="00CD2303">
        <w:trPr>
          <w:trHeight w:val="580"/>
        </w:trPr>
        <w:tc>
          <w:tcPr>
            <w:tcW w:w="1413" w:type="dxa"/>
            <w:vMerge/>
            <w:vAlign w:val="center"/>
            <w:hideMark/>
          </w:tcPr>
          <w:p w14:paraId="68677D4B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653E8ACC" w14:textId="77777777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要求所投产</w:t>
            </w:r>
            <w:proofErr w:type="gramStart"/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品具备</w:t>
            </w:r>
            <w:proofErr w:type="gramEnd"/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节能环保设计，提供中国质量中心颁发的节能证书，并在中国质量中心官网上可以查询到产品型号</w:t>
            </w:r>
          </w:p>
        </w:tc>
      </w:tr>
      <w:tr w:rsidR="00CD2303" w:rsidRPr="00CD2303" w14:paraId="4849C4A5" w14:textId="77777777" w:rsidTr="00CD2303">
        <w:trPr>
          <w:trHeight w:val="580"/>
        </w:trPr>
        <w:tc>
          <w:tcPr>
            <w:tcW w:w="1413" w:type="dxa"/>
            <w:vAlign w:val="center"/>
          </w:tcPr>
          <w:p w14:paraId="667C87EC" w14:textId="1758A214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配置要求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2775D79" w14:textId="023CEEF5" w:rsidR="00CD2303" w:rsidRPr="00CD2303" w:rsidRDefault="00CD2303" w:rsidP="00CD2303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本次配置2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千兆光口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>8个复用的10/100/1000Mbps电口，8个1G/10G SFP+光口，</w:t>
            </w:r>
            <w:r w:rsidR="006D122C">
              <w:rPr>
                <w:rFonts w:ascii="宋体" w:eastAsia="宋体" w:hAnsi="宋体" w:cs="宋体" w:hint="eastAsia"/>
                <w:kern w:val="0"/>
                <w:szCs w:val="21"/>
              </w:rPr>
              <w:t>可插拔模块化双电源。</w:t>
            </w:r>
            <w:r w:rsidRPr="00CD2303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</w:tr>
    </w:tbl>
    <w:p w14:paraId="119E30F2" w14:textId="31C21632" w:rsidR="0020086D" w:rsidRPr="00382FC5" w:rsidRDefault="002318FD" w:rsidP="00382FC5">
      <w:pPr>
        <w:pStyle w:val="1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382FC5" w:rsidRPr="00895235">
        <w:rPr>
          <w:rFonts w:hint="eastAsia"/>
          <w:sz w:val="28"/>
          <w:szCs w:val="28"/>
        </w:rPr>
        <w:t>、</w:t>
      </w:r>
      <w:r w:rsidR="006417B1">
        <w:rPr>
          <w:rFonts w:hint="eastAsia"/>
          <w:sz w:val="28"/>
          <w:szCs w:val="28"/>
        </w:rPr>
        <w:t>网管平台</w:t>
      </w:r>
      <w:r w:rsidR="002A22F2">
        <w:rPr>
          <w:rFonts w:hint="eastAsia"/>
          <w:sz w:val="28"/>
          <w:szCs w:val="28"/>
        </w:rPr>
        <w:t>升级服务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6946"/>
      </w:tblGrid>
      <w:tr w:rsidR="00382FC5" w:rsidRPr="00382FC5" w14:paraId="3FD6EA75" w14:textId="77777777" w:rsidTr="00382FC5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CE9F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7B96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参数要求</w:t>
            </w:r>
          </w:p>
        </w:tc>
      </w:tr>
      <w:tr w:rsidR="00E12AF0" w:rsidRPr="00382FC5" w14:paraId="7965E84A" w14:textId="77777777" w:rsidTr="00382FC5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09ED" w14:textId="446C020C" w:rsidR="00E12AF0" w:rsidRPr="00382FC5" w:rsidRDefault="001A0918" w:rsidP="00E12AF0">
            <w:pPr>
              <w:widowControl/>
              <w:jc w:val="center"/>
              <w:outlineLvl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0086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="00E12AF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原网管平台升级服务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9FCA" w14:textId="7D517D02" w:rsidR="00E12AF0" w:rsidRPr="00382FC5" w:rsidRDefault="00E12AF0" w:rsidP="00E12AF0">
            <w:pPr>
              <w:widowControl/>
              <w:jc w:val="center"/>
              <w:outlineLvl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12AF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原网管软件为S</w:t>
            </w:r>
            <w:r w:rsidRPr="00E12AF0">
              <w:rPr>
                <w:rFonts w:ascii="宋体" w:eastAsia="宋体" w:hAnsi="宋体" w:cs="宋体"/>
                <w:color w:val="000000"/>
                <w:kern w:val="0"/>
                <w:szCs w:val="21"/>
              </w:rPr>
              <w:t>NC</w:t>
            </w:r>
            <w:r w:rsidRPr="00E12AF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，如果投标时能提供升级服务，本次就不需要再次采购网管平台；若不能提供升级，投标人需提供满足以下参数的网管平台。</w:t>
            </w:r>
          </w:p>
        </w:tc>
      </w:tr>
      <w:tr w:rsidR="00382FC5" w:rsidRPr="00382FC5" w14:paraId="0411B0F2" w14:textId="77777777" w:rsidTr="00382FC5">
        <w:trPr>
          <w:trHeight w:val="4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507D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B/S架构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97E9" w14:textId="7A0A6F01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要求投标产品采用纯B/S架构，用户无需安装客户端，通过标准浏览器就能完成对系统的访问。</w:t>
            </w:r>
          </w:p>
        </w:tc>
      </w:tr>
      <w:tr w:rsidR="00382FC5" w:rsidRPr="00382FC5" w14:paraId="72C73844" w14:textId="77777777" w:rsidTr="00382FC5">
        <w:trPr>
          <w:trHeight w:val="54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EB96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1C2" w14:textId="01AAA3A0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支持通过WEB浏览器实现网管系统自身服务的重启、关闭；监控服务器自身的CPU、内存、网卡状态；支持在网页上获取系统运行日志</w:t>
            </w:r>
            <w:r w:rsid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="00CE5DD6"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82FC5" w:rsidRPr="00382FC5" w14:paraId="57CBEEFE" w14:textId="77777777" w:rsidTr="00382FC5">
        <w:trPr>
          <w:trHeight w:val="2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E9AA" w14:textId="6C4CF8D8" w:rsidR="00382FC5" w:rsidRPr="00382FC5" w:rsidRDefault="00CE5DD6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监控统计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84D" w14:textId="0D11BB4D" w:rsidR="00382FC5" w:rsidRPr="00382FC5" w:rsidRDefault="00CE5DD6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支持全网无线控制器、无线</w:t>
            </w:r>
            <w:r w:rsidRPr="00CE5D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AP可达性和告警统计</w:t>
            </w:r>
          </w:p>
        </w:tc>
      </w:tr>
      <w:tr w:rsidR="00382FC5" w:rsidRPr="00382FC5" w14:paraId="77E9A475" w14:textId="77777777" w:rsidTr="00382FC5">
        <w:trPr>
          <w:trHeight w:val="22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C6B34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7712" w14:textId="4ADF856C" w:rsidR="00382FC5" w:rsidRPr="00382FC5" w:rsidRDefault="00CE5DD6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支持有线无线设备统一拓扑呈现</w:t>
            </w:r>
          </w:p>
        </w:tc>
      </w:tr>
      <w:tr w:rsidR="00382FC5" w:rsidRPr="00382FC5" w14:paraId="318AEA02" w14:textId="77777777" w:rsidTr="00382FC5">
        <w:trPr>
          <w:trHeight w:val="1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7222D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F3FB" w14:textId="4AA66E32" w:rsidR="00382FC5" w:rsidRPr="00382FC5" w:rsidRDefault="00CE5DD6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支持全网、热点和单</w:t>
            </w:r>
            <w:r w:rsidRPr="00CE5D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AC、AP用户趋势统计，支持热点、单AC、AP在线用户统计</w:t>
            </w:r>
          </w:p>
        </w:tc>
      </w:tr>
      <w:tr w:rsidR="00382FC5" w:rsidRPr="00382FC5" w14:paraId="05D25C87" w14:textId="77777777" w:rsidTr="00382FC5">
        <w:trPr>
          <w:trHeight w:val="2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216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有线无线一体化管理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BB25" w14:textId="35C02D1C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能够通过模块化、组件化方式，实现对网络中的路由器、交换机、防火墙、WLAN等有线无线一体化管理。</w:t>
            </w:r>
          </w:p>
        </w:tc>
      </w:tr>
      <w:tr w:rsidR="00382FC5" w:rsidRPr="00382FC5" w14:paraId="07439764" w14:textId="77777777" w:rsidTr="00382FC5">
        <w:trPr>
          <w:trHeight w:val="2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5199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组件扩展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6160" w14:textId="7EC1B9DF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支持无线网络业务，便于未来有线无线网络设备统一化管理和监测 </w:t>
            </w:r>
          </w:p>
        </w:tc>
      </w:tr>
      <w:tr w:rsidR="00382FC5" w:rsidRPr="00382FC5" w14:paraId="3176A479" w14:textId="77777777" w:rsidTr="00382FC5">
        <w:trPr>
          <w:trHeight w:val="17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FF0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542" w14:textId="5FF372FF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具备丰富的设备管理功能，包含对设备和设备接口及其信息的增删</w:t>
            </w:r>
            <w:proofErr w:type="gramStart"/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改查具有</w:t>
            </w:r>
            <w:proofErr w:type="gramEnd"/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良好的展示和基本操作功能。 </w:t>
            </w:r>
          </w:p>
        </w:tc>
      </w:tr>
      <w:tr w:rsidR="00382FC5" w:rsidRPr="00382FC5" w14:paraId="287AD849" w14:textId="77777777" w:rsidTr="00382FC5">
        <w:trPr>
          <w:trHeight w:val="11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07439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865F" w14:textId="0E3012C0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可以对多台设备进行批量的设备软件升级 </w:t>
            </w:r>
          </w:p>
        </w:tc>
      </w:tr>
      <w:tr w:rsidR="00382FC5" w:rsidRPr="00382FC5" w14:paraId="0572B74C" w14:textId="77777777" w:rsidTr="00382FC5">
        <w:trPr>
          <w:trHeight w:val="22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1FF8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075" w14:textId="77777777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图形化显示设备的真实物理面板及线卡、端口信息，且支持在面板页面直接对设备进行操作</w:t>
            </w:r>
          </w:p>
        </w:tc>
      </w:tr>
      <w:tr w:rsidR="00382FC5" w:rsidRPr="00382FC5" w14:paraId="7DAAFE1E" w14:textId="77777777" w:rsidTr="00382FC5">
        <w:trPr>
          <w:trHeight w:val="57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9A54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5971" w14:textId="2E3ECF9A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能够自动对设备软件版本进行升级条件判断，支持设备软件版本的批量升级操作</w:t>
            </w:r>
          </w:p>
        </w:tc>
      </w:tr>
      <w:tr w:rsidR="00382FC5" w:rsidRPr="00382FC5" w14:paraId="566BDAD2" w14:textId="77777777" w:rsidTr="00382FC5">
        <w:trPr>
          <w:trHeight w:val="36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BC56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F765" w14:textId="512A5940" w:rsidR="00382FC5" w:rsidRPr="00382FC5" w:rsidRDefault="00CE5DD6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支持无线控制器设备面板、设备信息、设备状态、管理</w:t>
            </w:r>
            <w:r w:rsidRPr="00CE5D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AP、SSID、告警统计呈现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支持统计</w:t>
            </w:r>
            <w:r w:rsidRPr="00CE5D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AP在线用户趋势、带宽占用趋势、CPU/内存性能趋势、STA关联失败原因</w:t>
            </w:r>
          </w:p>
        </w:tc>
      </w:tr>
      <w:tr w:rsidR="00382FC5" w:rsidRPr="00382FC5" w14:paraId="40B6748B" w14:textId="77777777" w:rsidTr="00382FC5">
        <w:trPr>
          <w:trHeight w:val="16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9152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A0E6" w14:textId="14351D5D" w:rsidR="00382FC5" w:rsidRPr="00382FC5" w:rsidRDefault="00CE5DD6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</w:t>
            </w:r>
            <w:r w:rsidRPr="00CE5D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AP显示无线radio列表、设备信息、所属AC、所属热点、SSID、告警统计等信息</w:t>
            </w:r>
          </w:p>
        </w:tc>
      </w:tr>
      <w:tr w:rsidR="00382FC5" w:rsidRPr="00382FC5" w14:paraId="1D897F86" w14:textId="77777777" w:rsidTr="00382FC5">
        <w:trPr>
          <w:trHeight w:val="4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D2F0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设备配置管理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DE2" w14:textId="2B7F3734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支持定时自动抓取设备的配置文件，同步到管理组件服务器，对每次采集内容都可与上一次采集到配置文件进行比对，出现偏差可邮件通知管理员。</w:t>
            </w:r>
          </w:p>
        </w:tc>
      </w:tr>
      <w:tr w:rsidR="00382FC5" w:rsidRPr="00382FC5" w14:paraId="2348EDE0" w14:textId="77777777" w:rsidTr="00382FC5">
        <w:trPr>
          <w:trHeight w:val="16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E08E7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5BDC" w14:textId="60AEC317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具备以图形化向导的方式提供ACL，QoS快速部署管理 </w:t>
            </w:r>
          </w:p>
        </w:tc>
      </w:tr>
      <w:tr w:rsidR="00382FC5" w:rsidRPr="00382FC5" w14:paraId="1C15CAE5" w14:textId="77777777" w:rsidTr="00382FC5">
        <w:trPr>
          <w:trHeight w:val="14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73E1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拓扑管理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5FD9" w14:textId="77777777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自动发现网络中的二、三层网络设备，可以自动构成网络拓扑图 </w:t>
            </w:r>
          </w:p>
        </w:tc>
      </w:tr>
      <w:tr w:rsidR="00382FC5" w:rsidRPr="00382FC5" w14:paraId="145591F4" w14:textId="77777777" w:rsidTr="00382FC5">
        <w:trPr>
          <w:trHeight w:val="30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2979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实时告警功能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60B" w14:textId="2426318B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投标产品需要内置丰富的常见告警预定义类型，并可根据需要随时进行自定义所需告警类型的添加，提供至少10种以上常见SYSLOG告警类型预定义清单</w:t>
            </w:r>
            <w:r w:rsid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="00CE5DD6"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提供Trap预定义告警类型至少50种以上预定义清单</w:t>
            </w:r>
          </w:p>
        </w:tc>
      </w:tr>
      <w:tr w:rsidR="00382FC5" w:rsidRPr="00382FC5" w14:paraId="2CFEFC68" w14:textId="77777777" w:rsidTr="00382FC5">
        <w:trPr>
          <w:trHeight w:val="35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FE28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712" w14:textId="764EDE10" w:rsidR="00CE5DD6" w:rsidRPr="00382FC5" w:rsidRDefault="00CE5DD6" w:rsidP="00CE5DD6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支持指定部分终端为关键终端，并针对关键终端的运行质量进行监控，接收包重传率高于指定阈值时，产生告警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CE5D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对关键终端的异常行为，如下线、关联失败</w:t>
            </w:r>
            <w:r w:rsidRPr="00CE5DD6">
              <w:rPr>
                <w:rFonts w:ascii="宋体" w:eastAsia="宋体" w:hAnsi="宋体" w:cs="宋体"/>
                <w:color w:val="000000"/>
                <w:kern w:val="0"/>
                <w:szCs w:val="21"/>
              </w:rPr>
              <w:t>/上线失败等，产生告警</w:t>
            </w:r>
          </w:p>
        </w:tc>
      </w:tr>
      <w:tr w:rsidR="00382FC5" w:rsidRPr="00382FC5" w14:paraId="2F0EAF80" w14:textId="77777777" w:rsidTr="00382FC5">
        <w:trPr>
          <w:trHeight w:val="5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E478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9C65" w14:textId="4AA9F47D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可以为监控的性能指标阈值设定为一般、重要和严重三级阈值，当性能指标超过阈值时，根据不同级别的阈值发送不同的告警提示。</w:t>
            </w:r>
          </w:p>
        </w:tc>
      </w:tr>
      <w:tr w:rsidR="00382FC5" w:rsidRPr="00382FC5" w14:paraId="2FF1E91D" w14:textId="77777777" w:rsidTr="00382FC5">
        <w:trPr>
          <w:trHeight w:val="5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F8F0D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BF7D" w14:textId="77777777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支持针对流量的下限告警，当流量低于指定阈值时，也可以发告警出来</w:t>
            </w:r>
          </w:p>
        </w:tc>
      </w:tr>
      <w:tr w:rsidR="00382FC5" w:rsidRPr="00382FC5" w14:paraId="5261CBF7" w14:textId="77777777" w:rsidTr="00382FC5">
        <w:trPr>
          <w:trHeight w:val="1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DB0B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937" w14:textId="0E477E4D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支持设置指定设备的维护日程，在此维护日程时间段内，不会再发告警</w:t>
            </w:r>
          </w:p>
        </w:tc>
      </w:tr>
      <w:tr w:rsidR="00382FC5" w:rsidRPr="00382FC5" w14:paraId="5254F77F" w14:textId="77777777" w:rsidTr="00382FC5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AA49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关键链路检测功能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670B" w14:textId="4A15E1F2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对关键链路的实时状态具备智能检测功能，</w:t>
            </w:r>
            <w:proofErr w:type="gramStart"/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若状态</w:t>
            </w:r>
            <w:proofErr w:type="gramEnd"/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发生变化，能够智能快速的定位故障点，并支持以多种告警形式通知管理员，以便使网络尽快恢复正常</w:t>
            </w:r>
          </w:p>
        </w:tc>
      </w:tr>
      <w:tr w:rsidR="00382FC5" w:rsidRPr="00382FC5" w14:paraId="6DA50FAF" w14:textId="77777777" w:rsidTr="00382FC5">
        <w:trPr>
          <w:trHeight w:val="16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A89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接口映射关系管理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851A" w14:textId="22BA0DEE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支持定期收集用户设备的IP、MAC、PORT映射表，当映射表发现异常时作为事件及时通知管理员</w:t>
            </w:r>
          </w:p>
        </w:tc>
      </w:tr>
      <w:tr w:rsidR="00382FC5" w:rsidRPr="00382FC5" w14:paraId="2CEDD339" w14:textId="77777777" w:rsidTr="00382FC5">
        <w:trPr>
          <w:trHeight w:val="36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339" w14:textId="77777777" w:rsidR="00382FC5" w:rsidRPr="00382FC5" w:rsidRDefault="00382FC5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拓扑融合用户信息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C36" w14:textId="4489E9BD" w:rsidR="00382FC5" w:rsidRPr="00382FC5" w:rsidRDefault="00382FC5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2F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为了保障用户前期的投资，要求支持与SAM\SMP\ESS注册对接，实现查询在线用户列表，包括用户名、IP地址、MAC地址等功能，提供项目成功案例或软件界面的功能截图</w:t>
            </w:r>
          </w:p>
        </w:tc>
      </w:tr>
      <w:tr w:rsidR="00382FC5" w:rsidRPr="00382FC5" w14:paraId="5801ED14" w14:textId="77777777" w:rsidTr="00CE5DD6">
        <w:trPr>
          <w:trHeight w:val="34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1FF" w14:textId="4481E04D" w:rsidR="00382FC5" w:rsidRPr="00A62F3A" w:rsidRDefault="00CE5DD6" w:rsidP="00382FC5">
            <w:pPr>
              <w:widowControl/>
              <w:jc w:val="center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A62F3A">
              <w:rPr>
                <w:rFonts w:ascii="宋体" w:eastAsia="宋体" w:hAnsi="宋体" w:cs="宋体" w:hint="eastAsia"/>
                <w:kern w:val="0"/>
                <w:szCs w:val="21"/>
              </w:rPr>
              <w:t>★配置要求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7A1" w14:textId="422946C7" w:rsidR="00382FC5" w:rsidRPr="00A62F3A" w:rsidRDefault="00CE5DD6" w:rsidP="00382FC5">
            <w:pPr>
              <w:widowControl/>
              <w:jc w:val="left"/>
              <w:outlineLvl w:val="0"/>
              <w:rPr>
                <w:rFonts w:ascii="宋体" w:eastAsia="宋体" w:hAnsi="宋体" w:cs="宋体"/>
                <w:kern w:val="0"/>
                <w:szCs w:val="21"/>
              </w:rPr>
            </w:pPr>
            <w:r w:rsidRPr="00A62F3A">
              <w:rPr>
                <w:rFonts w:ascii="宋体" w:eastAsia="宋体" w:hAnsi="宋体" w:cs="宋体" w:hint="eastAsia"/>
                <w:kern w:val="0"/>
                <w:szCs w:val="21"/>
              </w:rPr>
              <w:t>本次单台配置5</w:t>
            </w:r>
            <w:r w:rsidRPr="00A62F3A">
              <w:rPr>
                <w:rFonts w:ascii="宋体" w:eastAsia="宋体" w:hAnsi="宋体" w:cs="宋体"/>
                <w:kern w:val="0"/>
                <w:szCs w:val="21"/>
              </w:rPr>
              <w:t>00</w:t>
            </w:r>
            <w:r w:rsidRPr="00A62F3A">
              <w:rPr>
                <w:rFonts w:ascii="宋体" w:eastAsia="宋体" w:hAnsi="宋体" w:cs="宋体" w:hint="eastAsia"/>
                <w:kern w:val="0"/>
                <w:szCs w:val="21"/>
              </w:rPr>
              <w:t>个设备管理授权，1</w:t>
            </w:r>
            <w:r w:rsidRPr="00A62F3A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A62F3A">
              <w:rPr>
                <w:rFonts w:ascii="宋体" w:eastAsia="宋体" w:hAnsi="宋体" w:cs="宋体" w:hint="eastAsia"/>
                <w:kern w:val="0"/>
                <w:szCs w:val="21"/>
              </w:rPr>
              <w:t>个有线管理授权。</w:t>
            </w:r>
          </w:p>
        </w:tc>
      </w:tr>
    </w:tbl>
    <w:p w14:paraId="7861A0C0" w14:textId="02662CE2" w:rsidR="006417B1" w:rsidRPr="00760A2E" w:rsidRDefault="006417B1" w:rsidP="00760A2E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6417B1" w:rsidRPr="0076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5B"/>
    <w:rsid w:val="000C545B"/>
    <w:rsid w:val="000D70D1"/>
    <w:rsid w:val="001A0918"/>
    <w:rsid w:val="0020086D"/>
    <w:rsid w:val="002318FD"/>
    <w:rsid w:val="00256117"/>
    <w:rsid w:val="002823DA"/>
    <w:rsid w:val="002A22F2"/>
    <w:rsid w:val="002E21FE"/>
    <w:rsid w:val="00382FC5"/>
    <w:rsid w:val="006023CB"/>
    <w:rsid w:val="006417B1"/>
    <w:rsid w:val="006D122C"/>
    <w:rsid w:val="007429D6"/>
    <w:rsid w:val="007572B9"/>
    <w:rsid w:val="00760A2E"/>
    <w:rsid w:val="00895235"/>
    <w:rsid w:val="00A62F3A"/>
    <w:rsid w:val="00CA6DC0"/>
    <w:rsid w:val="00CD2303"/>
    <w:rsid w:val="00CE5DD6"/>
    <w:rsid w:val="00D632FB"/>
    <w:rsid w:val="00D74A73"/>
    <w:rsid w:val="00DE1FD9"/>
    <w:rsid w:val="00E12AF0"/>
    <w:rsid w:val="00F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C3BF"/>
  <w15:chartTrackingRefBased/>
  <w15:docId w15:val="{839D8372-2707-4211-8E5D-0D91DA7A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F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71FB-C54A-44C5-9B37-6C87C4AE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庆凯</dc:creator>
  <cp:keywords/>
  <dc:description/>
  <cp:lastModifiedBy>liqq</cp:lastModifiedBy>
  <cp:revision>22</cp:revision>
  <dcterms:created xsi:type="dcterms:W3CDTF">2020-11-20T00:29:00Z</dcterms:created>
  <dcterms:modified xsi:type="dcterms:W3CDTF">2020-11-26T01:28:00Z</dcterms:modified>
</cp:coreProperties>
</file>