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ascii="Times New Roman" w:hAnsi="Times New Roman" w:eastAsia="黑体" w:cs="Times New Roman"/>
          <w:sz w:val="32"/>
          <w:szCs w:val="30"/>
        </w:rPr>
      </w:pPr>
      <w:r>
        <w:rPr>
          <w:rFonts w:ascii="Times New Roman" w:hAnsi="Times New Roman" w:eastAsia="黑体" w:cs="Times New Roman"/>
          <w:sz w:val="32"/>
          <w:szCs w:val="30"/>
        </w:rPr>
        <w:t>附件1</w:t>
      </w:r>
    </w:p>
    <w:p>
      <w:pPr>
        <w:adjustRightInd w:val="0"/>
        <w:snapToGrid w:val="0"/>
        <w:spacing w:line="500" w:lineRule="exact"/>
        <w:jc w:val="left"/>
        <w:rPr>
          <w:rFonts w:ascii="Times New Roman" w:hAnsi="Times New Roman" w:eastAsia="黑体" w:cs="Times New Roman"/>
          <w:sz w:val="32"/>
          <w:szCs w:val="30"/>
        </w:rPr>
      </w:pPr>
    </w:p>
    <w:p>
      <w:pPr>
        <w:adjustRightInd w:val="0"/>
        <w:snapToGrid w:val="0"/>
        <w:spacing w:line="50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苏州健雄职业技术学院</w:t>
      </w:r>
    </w:p>
    <w:p>
      <w:pPr>
        <w:adjustRightInd w:val="0"/>
        <w:snapToGrid w:val="0"/>
        <w:spacing w:line="50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实验</w:t>
      </w:r>
      <w:r>
        <w:rPr>
          <w:rFonts w:hint="eastAsia" w:ascii="Times New Roman" w:hAnsi="Times New Roman" w:eastAsia="方正小标宋_GBK" w:cs="Times New Roman"/>
          <w:sz w:val="36"/>
          <w:szCs w:val="36"/>
        </w:rPr>
        <w:t>实训场室</w:t>
      </w:r>
      <w:r>
        <w:rPr>
          <w:rFonts w:ascii="Times New Roman" w:hAnsi="Times New Roman" w:eastAsia="方正小标宋_GBK" w:cs="Times New Roman"/>
          <w:sz w:val="36"/>
          <w:szCs w:val="36"/>
        </w:rPr>
        <w:t>安全隐患自查对照表</w:t>
      </w:r>
      <w:r>
        <w:rPr>
          <w:rFonts w:hint="eastAsia" w:ascii="Times New Roman" w:hAnsi="Times New Roman" w:eastAsia="方正小标宋_GBK" w:cs="Times New Roman"/>
          <w:sz w:val="36"/>
          <w:szCs w:val="36"/>
        </w:rPr>
        <w:t>（</w:t>
      </w:r>
      <w:r>
        <w:rPr>
          <w:rFonts w:hint="eastAsia" w:ascii="Times New Roman" w:hAnsi="Times New Roman" w:eastAsia="方正小标宋_GBK" w:cs="Times New Roman"/>
          <w:sz w:val="36"/>
          <w:szCs w:val="36"/>
          <w:lang w:val="en-US" w:eastAsia="zh-CN"/>
        </w:rPr>
        <w:t>10</w:t>
      </w:r>
      <w:bookmarkStart w:id="0" w:name="_GoBack"/>
      <w:bookmarkEnd w:id="0"/>
      <w:r>
        <w:rPr>
          <w:rFonts w:hint="eastAsia" w:ascii="Times New Roman" w:hAnsi="Times New Roman" w:eastAsia="方正小标宋_GBK" w:cs="Times New Roman"/>
          <w:sz w:val="36"/>
          <w:szCs w:val="36"/>
        </w:rPr>
        <w:t>月报表）</w:t>
      </w:r>
    </w:p>
    <w:p>
      <w:pPr>
        <w:adjustRightInd w:val="0"/>
        <w:snapToGrid w:val="0"/>
        <w:spacing w:line="500" w:lineRule="exact"/>
        <w:jc w:val="left"/>
        <w:rPr>
          <w:rFonts w:ascii="Times New Roman" w:hAnsi="Times New Roman" w:eastAsia="方正小标宋_GBK" w:cs="Times New Roman"/>
          <w:sz w:val="30"/>
          <w:szCs w:val="30"/>
        </w:rPr>
      </w:pPr>
      <w:r>
        <w:rPr>
          <w:rFonts w:hint="eastAsia" w:ascii="Times New Roman" w:hAnsi="Times New Roman" w:eastAsia="方正小标宋_GBK" w:cs="Times New Roman"/>
          <w:sz w:val="30"/>
          <w:szCs w:val="30"/>
        </w:rPr>
        <w:t>二级学院：（盖章）XXXX学院</w:t>
      </w:r>
    </w:p>
    <w:tbl>
      <w:tblPr>
        <w:tblStyle w:val="5"/>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474"/>
        <w:gridCol w:w="715"/>
        <w:gridCol w:w="90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57" w:type="dxa"/>
            <w:vMerge w:val="restart"/>
            <w:shd w:val="clear" w:color="auto" w:fill="auto"/>
            <w:vAlign w:val="center"/>
          </w:tcPr>
          <w:p>
            <w:pPr>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5474" w:type="dxa"/>
            <w:vMerge w:val="restart"/>
            <w:shd w:val="clear" w:color="auto" w:fill="auto"/>
            <w:vAlign w:val="center"/>
          </w:tcPr>
          <w:p>
            <w:pPr>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检查项目</w:t>
            </w:r>
          </w:p>
        </w:tc>
        <w:tc>
          <w:tcPr>
            <w:tcW w:w="2519" w:type="dxa"/>
            <w:gridSpan w:val="3"/>
            <w:shd w:val="clear" w:color="auto" w:fill="auto"/>
            <w:vAlign w:val="center"/>
          </w:tcPr>
          <w:p>
            <w:pPr>
              <w:widowControl/>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57" w:type="dxa"/>
            <w:vMerge w:val="continue"/>
            <w:shd w:val="clear" w:color="auto" w:fill="auto"/>
            <w:vAlign w:val="center"/>
          </w:tcPr>
          <w:p>
            <w:pPr>
              <w:widowControl/>
              <w:spacing w:line="240" w:lineRule="exact"/>
              <w:jc w:val="center"/>
              <w:rPr>
                <w:rFonts w:cs="Times New Roman" w:asciiTheme="minorEastAsia" w:hAnsiTheme="minorEastAsia"/>
                <w:b/>
                <w:bCs/>
                <w:kern w:val="0"/>
                <w:szCs w:val="21"/>
              </w:rPr>
            </w:pPr>
          </w:p>
        </w:tc>
        <w:tc>
          <w:tcPr>
            <w:tcW w:w="5474" w:type="dxa"/>
            <w:vMerge w:val="continue"/>
            <w:shd w:val="clear" w:color="auto" w:fill="auto"/>
            <w:vAlign w:val="center"/>
          </w:tcPr>
          <w:p>
            <w:pPr>
              <w:widowControl/>
              <w:spacing w:line="240" w:lineRule="exact"/>
              <w:jc w:val="center"/>
              <w:rPr>
                <w:rFonts w:cs="Times New Roman" w:asciiTheme="minorEastAsia" w:hAnsiTheme="minorEastAsia"/>
                <w:b/>
                <w:bCs/>
                <w:kern w:val="0"/>
                <w:szCs w:val="21"/>
              </w:rPr>
            </w:pPr>
          </w:p>
        </w:tc>
        <w:tc>
          <w:tcPr>
            <w:tcW w:w="715" w:type="dxa"/>
            <w:shd w:val="clear" w:color="auto" w:fill="auto"/>
            <w:vAlign w:val="center"/>
          </w:tcPr>
          <w:p>
            <w:pPr>
              <w:widowControl/>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符合</w:t>
            </w:r>
          </w:p>
        </w:tc>
        <w:tc>
          <w:tcPr>
            <w:tcW w:w="900" w:type="dxa"/>
            <w:shd w:val="clear" w:color="auto" w:fill="auto"/>
            <w:vAlign w:val="center"/>
          </w:tcPr>
          <w:p>
            <w:pPr>
              <w:widowControl/>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不符合</w:t>
            </w:r>
          </w:p>
        </w:tc>
        <w:tc>
          <w:tcPr>
            <w:tcW w:w="904" w:type="dxa"/>
            <w:shd w:val="clear" w:color="auto" w:fill="auto"/>
            <w:vAlign w:val="center"/>
          </w:tcPr>
          <w:p>
            <w:pPr>
              <w:widowControl/>
              <w:spacing w:line="240" w:lineRule="exact"/>
              <w:jc w:val="center"/>
              <w:rPr>
                <w:rFonts w:cs="Times New Roman" w:asciiTheme="minorEastAsia" w:hAnsiTheme="minorEastAsia"/>
                <w:b/>
                <w:bCs/>
                <w:kern w:val="0"/>
                <w:szCs w:val="21"/>
              </w:rPr>
            </w:pPr>
            <w:r>
              <w:rPr>
                <w:rFonts w:cs="Times New Roman" w:asciiTheme="minorEastAsia" w:hAnsiTheme="minorEastAsia"/>
                <w:b/>
                <w:bCs/>
                <w:kern w:val="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1</w:t>
            </w:r>
          </w:p>
        </w:tc>
        <w:tc>
          <w:tcPr>
            <w:tcW w:w="7993" w:type="dxa"/>
            <w:gridSpan w:val="4"/>
            <w:shd w:val="clear" w:color="auto" w:fill="auto"/>
            <w:vAlign w:val="center"/>
          </w:tcPr>
          <w:p>
            <w:pPr>
              <w:widowControl/>
              <w:spacing w:line="240" w:lineRule="exact"/>
              <w:rPr>
                <w:rFonts w:cs="Times New Roman" w:asciiTheme="minorEastAsia" w:hAnsiTheme="minorEastAsia"/>
                <w:b/>
                <w:bCs/>
                <w:kern w:val="0"/>
                <w:szCs w:val="21"/>
              </w:rPr>
            </w:pPr>
            <w:r>
              <w:rPr>
                <w:rFonts w:cs="Times New Roman" w:asciiTheme="minorEastAsia" w:hAnsiTheme="minorEastAsia"/>
                <w:b/>
                <w:kern w:val="0"/>
                <w:szCs w:val="21"/>
              </w:rPr>
              <w:t>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1.1</w:t>
            </w:r>
          </w:p>
        </w:tc>
        <w:tc>
          <w:tcPr>
            <w:tcW w:w="7993" w:type="dxa"/>
            <w:gridSpan w:val="4"/>
            <w:shd w:val="clear" w:color="auto" w:fill="auto"/>
            <w:vAlign w:val="center"/>
          </w:tcPr>
          <w:p>
            <w:pPr>
              <w:widowControl/>
              <w:spacing w:line="240" w:lineRule="exact"/>
              <w:rPr>
                <w:rFonts w:cs="Times New Roman" w:asciiTheme="minorEastAsia" w:hAnsiTheme="minorEastAsia"/>
                <w:b/>
                <w:bCs/>
                <w:kern w:val="0"/>
                <w:szCs w:val="21"/>
              </w:rPr>
            </w:pPr>
            <w:r>
              <w:rPr>
                <w:rFonts w:cs="Times New Roman" w:asciiTheme="minorEastAsia" w:hAnsiTheme="minorEastAsia"/>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.1</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kern w:val="0"/>
                <w:szCs w:val="21"/>
              </w:rPr>
              <w:t>建立实验室安全准入体系，特别是化学化工类实验室实行了安全准入制度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w:t>
            </w:r>
            <w:r>
              <w:rPr>
                <w:rFonts w:hint="eastAsia" w:cs="Times New Roman" w:asciiTheme="minorEastAsia" w:hAnsiTheme="minorEastAsia"/>
                <w:kern w:val="0"/>
                <w:szCs w:val="21"/>
              </w:rPr>
              <w:t>2</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kern w:val="0"/>
                <w:szCs w:val="21"/>
              </w:rPr>
              <w:t>主管实验室安全的负责人在岗一年内通过了上一级组织的实验室安全培训，持有效证书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w:t>
            </w:r>
            <w:r>
              <w:rPr>
                <w:rFonts w:hint="eastAsia" w:cs="Times New Roman" w:asciiTheme="minorEastAsia" w:hAnsiTheme="minorEastAsia"/>
                <w:kern w:val="0"/>
                <w:szCs w:val="21"/>
              </w:rPr>
              <w:t>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成立实验室安全领导小组，由党/政一把手挂帅，团队</w:t>
            </w:r>
            <w:r>
              <w:rPr>
                <w:rFonts w:cs="Times New Roman" w:asciiTheme="minorEastAsia" w:hAnsiTheme="minorEastAsia"/>
                <w:kern w:val="0"/>
                <w:szCs w:val="21"/>
                <w:lang w:val="en-GB"/>
              </w:rPr>
              <w:t>中心</w:t>
            </w:r>
            <w:r>
              <w:rPr>
                <w:rFonts w:cs="Times New Roman" w:asciiTheme="minorEastAsia" w:hAnsiTheme="minorEastAsia"/>
                <w:kern w:val="0"/>
                <w:szCs w:val="21"/>
              </w:rPr>
              <w:t>、实验室等负责人参加。分管实验室的领导主管实验室安全</w:t>
            </w:r>
            <w:r>
              <w:rPr>
                <w:rFonts w:hint="eastAsia" w:cs="Times New Roman" w:asciiTheme="minorEastAsia" w:hAnsiTheme="minorEastAsia"/>
                <w:kern w:val="0"/>
                <w:szCs w:val="21"/>
              </w:rPr>
              <w:t>。</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w:t>
            </w:r>
            <w:r>
              <w:rPr>
                <w:rFonts w:hint="eastAsia" w:cs="Times New Roman" w:asciiTheme="minorEastAsia" w:hAnsiTheme="minorEastAsia"/>
                <w:kern w:val="0"/>
                <w:szCs w:val="21"/>
              </w:rPr>
              <w:t>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工、医类院系有专职实验室安全管理人员，文、管、艺术类有兼职实验室安全管理人员</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w:t>
            </w:r>
            <w:r>
              <w:rPr>
                <w:rFonts w:hint="eastAsia" w:cs="Times New Roman" w:asciiTheme="minorEastAsia" w:hAnsiTheme="minorEastAsia"/>
                <w:kern w:val="0"/>
                <w:szCs w:val="21"/>
              </w:rPr>
              <w:t>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建立二级单位的安全责任体系，所有实验</w:t>
            </w:r>
            <w:r>
              <w:rPr>
                <w:rFonts w:hint="eastAsia" w:cs="Times New Roman" w:asciiTheme="minorEastAsia" w:hAnsiTheme="minorEastAsia"/>
                <w:kern w:val="0"/>
                <w:szCs w:val="21"/>
              </w:rPr>
              <w:t>实训</w:t>
            </w:r>
            <w:r>
              <w:rPr>
                <w:rFonts w:cs="Times New Roman" w:asciiTheme="minorEastAsia" w:hAnsiTheme="minorEastAsia"/>
                <w:kern w:val="0"/>
                <w:szCs w:val="21"/>
              </w:rPr>
              <w:t>场所都需明确安全责任人</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1</w:t>
            </w:r>
            <w:r>
              <w:rPr>
                <w:rFonts w:cs="Times New Roman" w:asciiTheme="minorEastAsia" w:hAnsiTheme="minorEastAsia"/>
                <w:kern w:val="0"/>
                <w:szCs w:val="21"/>
              </w:rPr>
              <w:t>.</w:t>
            </w:r>
            <w:r>
              <w:rPr>
                <w:rFonts w:hint="eastAsia" w:cs="Times New Roman" w:asciiTheme="minorEastAsia" w:hAnsiTheme="minorEastAsia"/>
                <w:kern w:val="0"/>
                <w:szCs w:val="21"/>
              </w:rPr>
              <w:t>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实验室安全管理责任书要层层签订到</w:t>
            </w:r>
            <w:r>
              <w:rPr>
                <w:rFonts w:hint="eastAsia" w:cs="Times New Roman" w:asciiTheme="minorEastAsia" w:hAnsiTheme="minorEastAsia"/>
                <w:kern w:val="0"/>
                <w:szCs w:val="21"/>
              </w:rPr>
              <w:t>场室</w:t>
            </w:r>
            <w:r>
              <w:rPr>
                <w:rFonts w:cs="Times New Roman" w:asciiTheme="minorEastAsia" w:hAnsiTheme="minorEastAsia"/>
                <w:kern w:val="0"/>
                <w:szCs w:val="21"/>
              </w:rPr>
              <w:t>安全责任人，及每一位教</w:t>
            </w:r>
            <w:r>
              <w:rPr>
                <w:rFonts w:hint="eastAsia" w:cs="Times New Roman" w:asciiTheme="minorEastAsia" w:hAnsiTheme="minorEastAsia"/>
                <w:kern w:val="0"/>
                <w:szCs w:val="21"/>
              </w:rPr>
              <w:t>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bCs/>
                <w:kern w:val="0"/>
                <w:szCs w:val="21"/>
              </w:rPr>
              <w:t>1.</w:t>
            </w:r>
            <w:r>
              <w:rPr>
                <w:rFonts w:hint="eastAsia" w:cs="Times New Roman" w:asciiTheme="minorEastAsia" w:hAnsiTheme="minorEastAsia"/>
                <w:b/>
                <w:bCs/>
                <w:kern w:val="0"/>
                <w:szCs w:val="21"/>
              </w:rPr>
              <w:t>2</w:t>
            </w:r>
          </w:p>
        </w:tc>
        <w:tc>
          <w:tcPr>
            <w:tcW w:w="7993" w:type="dxa"/>
            <w:gridSpan w:val="4"/>
            <w:shd w:val="clear" w:color="auto" w:fill="auto"/>
            <w:vAlign w:val="center"/>
          </w:tcPr>
          <w:p>
            <w:pPr>
              <w:widowControl/>
              <w:spacing w:line="240" w:lineRule="exact"/>
              <w:rPr>
                <w:rFonts w:cs="Times New Roman" w:asciiTheme="minorEastAsia" w:hAnsiTheme="minorEastAsia"/>
                <w:b/>
                <w:bCs/>
                <w:kern w:val="0"/>
                <w:szCs w:val="21"/>
              </w:rPr>
            </w:pPr>
            <w:r>
              <w:rPr>
                <w:rFonts w:cs="Times New Roman" w:asciiTheme="minorEastAsia" w:hAnsiTheme="minorEastAsia"/>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2</w:t>
            </w:r>
            <w:r>
              <w:rPr>
                <w:rFonts w:cs="Times New Roman" w:asciiTheme="minorEastAsia" w:hAnsiTheme="minorEastAsia"/>
                <w:kern w:val="0"/>
                <w:szCs w:val="21"/>
              </w:rPr>
              <w:t>.</w:t>
            </w:r>
            <w:r>
              <w:rPr>
                <w:rFonts w:hint="eastAsia" w:cs="Times New Roman" w:asciiTheme="minorEastAsia" w:hAnsiTheme="minorEastAsia"/>
                <w:kern w:val="0"/>
                <w:szCs w:val="21"/>
              </w:rPr>
              <w:t>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有专项经费或自筹经费投入实验室安全建设与管理，实验室安全检查中的隐患整改经费能够落实</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2</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2.</w:t>
            </w:r>
            <w:r>
              <w:rPr>
                <w:rFonts w:hint="eastAsia" w:cs="Times New Roman" w:asciiTheme="minorEastAsia" w:hAnsiTheme="minorEastAsia"/>
                <w:b/>
                <w:kern w:val="0"/>
                <w:szCs w:val="21"/>
              </w:rPr>
              <w:t>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院系层面的安全管理制度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Cs/>
                <w:kern w:val="0"/>
                <w:szCs w:val="21"/>
              </w:rPr>
            </w:pPr>
            <w:r>
              <w:rPr>
                <w:rFonts w:cs="Times New Roman" w:asciiTheme="minorEastAsia" w:hAnsiTheme="minorEastAsia"/>
                <w:bCs/>
                <w:kern w:val="0"/>
                <w:szCs w:val="21"/>
              </w:rPr>
              <w:t>2.</w:t>
            </w:r>
            <w:r>
              <w:rPr>
                <w:rFonts w:hint="eastAsia" w:cs="Times New Roman" w:asciiTheme="minorEastAsia" w:hAnsiTheme="minorEastAsia"/>
                <w:bCs/>
                <w:kern w:val="0"/>
                <w:szCs w:val="21"/>
              </w:rPr>
              <w:t>1</w:t>
            </w:r>
            <w:r>
              <w:rPr>
                <w:rFonts w:cs="Times New Roman" w:asciiTheme="minorEastAsia" w:hAnsiTheme="minorEastAsia"/>
                <w:bCs/>
                <w:kern w:val="0"/>
                <w:szCs w:val="21"/>
              </w:rPr>
              <w:t>.1</w:t>
            </w:r>
          </w:p>
        </w:tc>
        <w:tc>
          <w:tcPr>
            <w:tcW w:w="5474" w:type="dxa"/>
            <w:shd w:val="clear" w:color="auto" w:fill="auto"/>
            <w:vAlign w:val="center"/>
          </w:tcPr>
          <w:p>
            <w:pPr>
              <w:widowControl/>
              <w:spacing w:line="240" w:lineRule="exact"/>
              <w:jc w:val="left"/>
              <w:rPr>
                <w:rFonts w:cs="Times New Roman" w:asciiTheme="minorEastAsia" w:hAnsiTheme="minorEastAsia"/>
                <w:bCs/>
                <w:kern w:val="0"/>
                <w:szCs w:val="21"/>
              </w:rPr>
            </w:pPr>
            <w:r>
              <w:rPr>
                <w:rFonts w:cs="Times New Roman" w:asciiTheme="minorEastAsia" w:hAnsiTheme="minorEastAsia"/>
                <w:bCs/>
                <w:kern w:val="0"/>
                <w:szCs w:val="21"/>
              </w:rPr>
              <w:t>具有</w:t>
            </w:r>
            <w:r>
              <w:rPr>
                <w:rFonts w:hint="eastAsia" w:cs="Times New Roman" w:asciiTheme="minorEastAsia" w:hAnsiTheme="minorEastAsia"/>
                <w:bCs/>
                <w:kern w:val="0"/>
                <w:szCs w:val="21"/>
              </w:rPr>
              <w:t>专业</w:t>
            </w:r>
            <w:r>
              <w:rPr>
                <w:rFonts w:cs="Times New Roman" w:asciiTheme="minorEastAsia" w:hAnsiTheme="minorEastAsia"/>
                <w:bCs/>
                <w:kern w:val="0"/>
                <w:szCs w:val="21"/>
              </w:rPr>
              <w:t>特色的实验室安全管理制度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w:t>
            </w:r>
            <w:r>
              <w:rPr>
                <w:rFonts w:cs="Times New Roman" w:asciiTheme="minorEastAsia" w:hAnsiTheme="minorEastAsia"/>
                <w:kern w:val="0"/>
                <w:szCs w:val="21"/>
              </w:rPr>
              <w:t>.2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有安全检查与值班值日制度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w:t>
            </w:r>
            <w:r>
              <w:rPr>
                <w:rFonts w:cs="Times New Roman" w:asciiTheme="minorEastAsia" w:hAnsiTheme="minorEastAsia"/>
                <w:kern w:val="0"/>
                <w:szCs w:val="21"/>
              </w:rPr>
              <w:t>.3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有仪器设备的安全操作规程（包括大型仪器，高温、高速、高压、强磁、低温等设备），并上墙</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w:t>
            </w:r>
            <w:r>
              <w:rPr>
                <w:rFonts w:cs="Times New Roman" w:asciiTheme="minorEastAsia" w:hAnsiTheme="minorEastAsia"/>
                <w:kern w:val="0"/>
                <w:szCs w:val="21"/>
              </w:rPr>
              <w:t>.4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危险性实验有操作规程（含安全注意事项），并上墙</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w:t>
            </w:r>
            <w:r>
              <w:rPr>
                <w:rFonts w:cs="Times New Roman" w:asciiTheme="minorEastAsia" w:hAnsiTheme="minorEastAsia"/>
                <w:kern w:val="0"/>
                <w:szCs w:val="21"/>
              </w:rPr>
              <w:t>.5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有体现</w:t>
            </w:r>
            <w:r>
              <w:rPr>
                <w:rFonts w:hint="eastAsia" w:cs="Times New Roman" w:asciiTheme="minorEastAsia" w:hAnsiTheme="minorEastAsia"/>
                <w:kern w:val="0"/>
                <w:szCs w:val="21"/>
              </w:rPr>
              <w:t>专业</w:t>
            </w:r>
            <w:r>
              <w:rPr>
                <w:rFonts w:cs="Times New Roman" w:asciiTheme="minorEastAsia" w:hAnsiTheme="minorEastAsia"/>
                <w:kern w:val="0"/>
                <w:szCs w:val="21"/>
              </w:rPr>
              <w:t>特色的应急预案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2.</w:t>
            </w:r>
            <w:r>
              <w:rPr>
                <w:rFonts w:hint="eastAsia" w:cs="Times New Roman" w:asciiTheme="minorEastAsia" w:hAnsiTheme="minorEastAsia"/>
                <w:b/>
                <w:kern w:val="0"/>
                <w:szCs w:val="21"/>
              </w:rPr>
              <w:t>2</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2</w:t>
            </w:r>
            <w:r>
              <w:rPr>
                <w:rFonts w:cs="Times New Roman" w:asciiTheme="minorEastAsia" w:hAnsiTheme="minorEastAsia"/>
                <w:kern w:val="0"/>
                <w:szCs w:val="21"/>
              </w:rPr>
              <w:t>.1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bCs/>
                <w:kern w:val="0"/>
                <w:szCs w:val="21"/>
              </w:rPr>
              <w:t>实施定期</w:t>
            </w:r>
            <w:r>
              <w:rPr>
                <w:rFonts w:cs="Times New Roman" w:asciiTheme="minorEastAsia" w:hAnsiTheme="minorEastAsia"/>
                <w:bCs/>
                <w:kern w:val="0"/>
                <w:szCs w:val="21"/>
              </w:rPr>
              <w:t>安全检查</w:t>
            </w:r>
            <w:r>
              <w:rPr>
                <w:rFonts w:hint="eastAsia" w:cs="Times New Roman" w:asciiTheme="minorEastAsia" w:hAnsiTheme="minorEastAsia"/>
                <w:bCs/>
                <w:kern w:val="0"/>
                <w:szCs w:val="21"/>
              </w:rPr>
              <w:t>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2</w:t>
            </w:r>
            <w:r>
              <w:rPr>
                <w:rFonts w:cs="Times New Roman" w:asciiTheme="minorEastAsia" w:hAnsiTheme="minorEastAsia"/>
                <w:kern w:val="0"/>
                <w:szCs w:val="21"/>
              </w:rPr>
              <w:t>.2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建立安全检查和值日台账，且记录规范</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2</w:t>
            </w:r>
            <w:r>
              <w:rPr>
                <w:rFonts w:cs="Times New Roman" w:asciiTheme="minorEastAsia" w:hAnsiTheme="minorEastAsia"/>
                <w:kern w:val="0"/>
                <w:szCs w:val="21"/>
              </w:rPr>
              <w:t>.3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对于检查发现存在问题的，有合适的方式通知被查实验室，如网上公示、整改通知书等，并规范存档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2</w:t>
            </w:r>
            <w:r>
              <w:rPr>
                <w:rFonts w:cs="Times New Roman" w:asciiTheme="minorEastAsia" w:hAnsiTheme="minorEastAsia"/>
                <w:kern w:val="0"/>
                <w:szCs w:val="21"/>
              </w:rPr>
              <w:t>.4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检查出的问题得到及时的整改，有整改记录并存档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2</w:t>
            </w:r>
            <w:r>
              <w:rPr>
                <w:rFonts w:cs="Times New Roman" w:asciiTheme="minorEastAsia" w:hAnsiTheme="minorEastAsia"/>
                <w:kern w:val="0"/>
                <w:szCs w:val="21"/>
              </w:rPr>
              <w:t>.5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事故调查、处理程序规范，资料存档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3</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3.1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教育培训计划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有年度安全教育培训计划</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有安全教育和培训的记录，并规范存档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3.2</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活动组织与实施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开展了教职工安全教育与培训，</w:t>
            </w:r>
            <w:r>
              <w:rPr>
                <w:rFonts w:cs="Times New Roman" w:asciiTheme="minorEastAsia" w:hAnsiTheme="minorEastAsia"/>
                <w:kern w:val="0"/>
                <w:sz w:val="22"/>
                <w:szCs w:val="21"/>
              </w:rPr>
              <w:t>有资料存档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开展了</w:t>
            </w:r>
            <w:r>
              <w:rPr>
                <w:rFonts w:hint="eastAsia" w:cs="Times New Roman" w:asciiTheme="minorEastAsia" w:hAnsiTheme="minorEastAsia"/>
                <w:kern w:val="0"/>
                <w:szCs w:val="21"/>
              </w:rPr>
              <w:t>学</w:t>
            </w:r>
            <w:r>
              <w:rPr>
                <w:rFonts w:cs="Times New Roman" w:asciiTheme="minorEastAsia" w:hAnsiTheme="minorEastAsia"/>
                <w:kern w:val="0"/>
                <w:szCs w:val="21"/>
              </w:rPr>
              <w:t>生安全教育与培训，</w:t>
            </w:r>
            <w:r>
              <w:rPr>
                <w:rFonts w:cs="Times New Roman" w:asciiTheme="minorEastAsia" w:hAnsiTheme="minorEastAsia"/>
                <w:kern w:val="0"/>
                <w:sz w:val="22"/>
                <w:szCs w:val="21"/>
              </w:rPr>
              <w:t>有资料存档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3.3</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实验室安全考试系统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3.3.1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建立了实验室安全考试系统</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3.3.2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每年组织</w:t>
            </w:r>
            <w:r>
              <w:rPr>
                <w:rFonts w:hint="eastAsia" w:cs="Times New Roman" w:asciiTheme="minorEastAsia" w:hAnsiTheme="minorEastAsia"/>
                <w:kern w:val="0"/>
                <w:szCs w:val="21"/>
              </w:rPr>
              <w:t>学</w:t>
            </w:r>
            <w:r>
              <w:rPr>
                <w:rFonts w:cs="Times New Roman" w:asciiTheme="minorEastAsia" w:hAnsiTheme="minorEastAsia"/>
                <w:kern w:val="0"/>
                <w:szCs w:val="21"/>
              </w:rPr>
              <w:t>生学习与考试，发放合格证</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3.3.3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组织对教师的考试，有记录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3.4</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3.4.1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在本单位主页设立专门的板块开展安全宣传、报道</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3.4.2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设有安全教育宣传窗，或有宣传画、标语、提示等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3.4.3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编印《实验室安全手册》并发放到每一位师生，收回</w:t>
            </w:r>
            <w:r>
              <w:rPr>
                <w:rFonts w:hint="eastAsia" w:cs="Times New Roman" w:asciiTheme="minorEastAsia" w:hAnsiTheme="minorEastAsia"/>
                <w:kern w:val="0"/>
                <w:szCs w:val="21"/>
              </w:rPr>
              <w:t>安全</w:t>
            </w:r>
            <w:r>
              <w:rPr>
                <w:rFonts w:cs="Times New Roman" w:asciiTheme="minorEastAsia" w:hAnsiTheme="minorEastAsia"/>
                <w:kern w:val="0"/>
                <w:szCs w:val="21"/>
              </w:rPr>
              <w:t>承诺书并归档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3.4.4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通过各种信息平台对师生进行安全方面的知识传输和温馨提醒</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4</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实验室环境与管理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b/>
                <w:kern w:val="0"/>
                <w:szCs w:val="21"/>
              </w:rPr>
            </w:pPr>
            <w:r>
              <w:rPr>
                <w:rFonts w:cs="Times New Roman" w:asciiTheme="minorEastAsia" w:hAnsiTheme="minorEastAsia"/>
                <w:b/>
                <w:kern w:val="0"/>
                <w:szCs w:val="21"/>
              </w:rPr>
              <w:t>4.1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每个</w:t>
            </w:r>
            <w:r>
              <w:rPr>
                <w:rFonts w:hint="eastAsia" w:cs="Times New Roman" w:asciiTheme="minorEastAsia" w:hAnsiTheme="minorEastAsia"/>
                <w:kern w:val="0"/>
                <w:szCs w:val="21"/>
              </w:rPr>
              <w:t>场室</w:t>
            </w:r>
            <w:r>
              <w:rPr>
                <w:rFonts w:cs="Times New Roman" w:asciiTheme="minorEastAsia" w:hAnsiTheme="minorEastAsia"/>
                <w:kern w:val="0"/>
                <w:szCs w:val="21"/>
              </w:rPr>
              <w:t>门口挂有安全信息牌，信息包括安全责任人、涉及危险类别、防护措施和有效的应急联系电话等，并及时更新</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实验室应张贴针对危险源的安全警示标识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实验室消防通道通畅，公共场所、通道无堆放仪器、物品现象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实验室门上有</w:t>
            </w:r>
            <w:r>
              <w:rPr>
                <w:rFonts w:cs="Times New Roman" w:asciiTheme="minorEastAsia" w:hAnsiTheme="minorEastAsia"/>
                <w:szCs w:val="21"/>
              </w:rPr>
              <w:t>观察窗，外开门不阻挡逃生路径</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4.1.5</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所有房间的钥匙有备用，存放在单位办公室或传达室内，由专人管理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超过200平米的实验室或楼层应具有至少两处紧急出口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b/>
                <w:kern w:val="0"/>
                <w:szCs w:val="21"/>
              </w:rPr>
            </w:pPr>
            <w:r>
              <w:rPr>
                <w:rFonts w:cs="Times New Roman" w:asciiTheme="minorEastAsia" w:hAnsiTheme="minorEastAsia"/>
                <w:b/>
                <w:kern w:val="0"/>
                <w:szCs w:val="21"/>
              </w:rPr>
              <w:t>4.2</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卫生与环境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有毒有害实验区与学习区明确分开，布局合理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4.2.2</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实验室物品摆放有序，卫生状况良好；实验完毕物品归位</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不存在门开着而无人的现象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4.2.4</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无废弃物品（如纸板箱、废电脑、破仪器、破家具等）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b/>
                <w:kern w:val="0"/>
                <w:szCs w:val="21"/>
              </w:rPr>
              <w:t>4.3</w:t>
            </w:r>
          </w:p>
        </w:tc>
        <w:tc>
          <w:tcPr>
            <w:tcW w:w="5474" w:type="dxa"/>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危险品仓库与中转站</w:t>
            </w:r>
          </w:p>
        </w:tc>
        <w:tc>
          <w:tcPr>
            <w:tcW w:w="715" w:type="dxa"/>
            <w:shd w:val="clear" w:color="auto" w:fill="auto"/>
            <w:vAlign w:val="center"/>
          </w:tcPr>
          <w:p>
            <w:pPr>
              <w:widowControl/>
              <w:spacing w:line="240" w:lineRule="exact"/>
              <w:jc w:val="left"/>
              <w:rPr>
                <w:rFonts w:cs="Times New Roman" w:asciiTheme="minorEastAsia" w:hAnsiTheme="minorEastAsia"/>
                <w:b/>
                <w:bCs/>
                <w:kern w:val="0"/>
                <w:szCs w:val="21"/>
              </w:rPr>
            </w:pPr>
          </w:p>
        </w:tc>
        <w:tc>
          <w:tcPr>
            <w:tcW w:w="900" w:type="dxa"/>
            <w:shd w:val="clear" w:color="auto" w:fill="auto"/>
            <w:vAlign w:val="center"/>
          </w:tcPr>
          <w:p>
            <w:pPr>
              <w:widowControl/>
              <w:spacing w:line="240" w:lineRule="exact"/>
              <w:jc w:val="left"/>
              <w:rPr>
                <w:rFonts w:cs="Times New Roman" w:asciiTheme="minorEastAsia" w:hAnsiTheme="minorEastAsia"/>
                <w:b/>
                <w:bCs/>
                <w:kern w:val="0"/>
                <w:szCs w:val="21"/>
              </w:rPr>
            </w:pPr>
          </w:p>
        </w:tc>
        <w:tc>
          <w:tcPr>
            <w:tcW w:w="904" w:type="dxa"/>
            <w:shd w:val="clear" w:color="auto" w:fill="auto"/>
            <w:vAlign w:val="center"/>
          </w:tcPr>
          <w:p>
            <w:pPr>
              <w:widowControl/>
              <w:spacing w:line="240" w:lineRule="exact"/>
              <w:jc w:val="left"/>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4.3.1</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学校有危险品仓库，符合相关规定</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4.3.2</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学校有化学实验废弃物中转站，符合相关规定</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4.3.3</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学校有生化固废中转站，符合相关规定</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4.3.4</w:t>
            </w:r>
          </w:p>
        </w:tc>
        <w:tc>
          <w:tcPr>
            <w:tcW w:w="5474" w:type="dxa"/>
            <w:shd w:val="clear" w:color="auto" w:fill="auto"/>
          </w:tcPr>
          <w:p>
            <w:pPr>
              <w:widowControl/>
              <w:spacing w:line="240" w:lineRule="exact"/>
              <w:rPr>
                <w:rFonts w:cs="Times New Roman" w:asciiTheme="minorEastAsia" w:hAnsiTheme="minorEastAsia"/>
                <w:kern w:val="0"/>
                <w:szCs w:val="21"/>
              </w:rPr>
            </w:pPr>
            <w:r>
              <w:rPr>
                <w:rFonts w:cs="Times New Roman" w:asciiTheme="minorEastAsia" w:hAnsiTheme="minorEastAsia"/>
                <w:szCs w:val="21"/>
              </w:rPr>
              <w:t>照明和消防设施符合国家相关规定，正确配备灭火器材（如灭火器、灭火毯等）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4.3.5</w:t>
            </w:r>
          </w:p>
        </w:tc>
        <w:tc>
          <w:tcPr>
            <w:tcW w:w="5474" w:type="dxa"/>
            <w:shd w:val="clear" w:color="auto" w:fill="auto"/>
          </w:tcPr>
          <w:p>
            <w:pPr>
              <w:widowControl/>
              <w:spacing w:line="240" w:lineRule="exact"/>
              <w:rPr>
                <w:rFonts w:cs="Times New Roman" w:asciiTheme="minorEastAsia" w:hAnsiTheme="minorEastAsia"/>
                <w:kern w:val="0"/>
                <w:szCs w:val="21"/>
              </w:rPr>
            </w:pPr>
            <w:r>
              <w:rPr>
                <w:rFonts w:cs="Times New Roman" w:asciiTheme="minorEastAsia" w:hAnsiTheme="minorEastAsia"/>
                <w:szCs w:val="21"/>
              </w:rPr>
              <w:t>安装监控、报警装置、通风装置和喷淋装置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4.3.6</w:t>
            </w:r>
          </w:p>
        </w:tc>
        <w:tc>
          <w:tcPr>
            <w:tcW w:w="5474" w:type="dxa"/>
            <w:shd w:val="clear" w:color="auto" w:fill="auto"/>
          </w:tcPr>
          <w:p>
            <w:pPr>
              <w:widowControl/>
              <w:spacing w:line="240" w:lineRule="exact"/>
              <w:rPr>
                <w:rFonts w:cs="Times New Roman" w:asciiTheme="minorEastAsia" w:hAnsiTheme="minorEastAsia"/>
                <w:kern w:val="0"/>
                <w:szCs w:val="21"/>
              </w:rPr>
            </w:pPr>
            <w:r>
              <w:rPr>
                <w:rFonts w:cs="Times New Roman" w:asciiTheme="minorEastAsia" w:hAnsiTheme="minorEastAsia"/>
                <w:szCs w:val="21"/>
              </w:rPr>
              <w:t>张贴安全警示标识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4.3.7</w:t>
            </w:r>
          </w:p>
        </w:tc>
        <w:tc>
          <w:tcPr>
            <w:tcW w:w="5474" w:type="dxa"/>
            <w:shd w:val="clear" w:color="auto" w:fill="auto"/>
          </w:tcPr>
          <w:p>
            <w:pPr>
              <w:widowControl/>
              <w:spacing w:line="240" w:lineRule="exact"/>
              <w:rPr>
                <w:rFonts w:cs="Times New Roman" w:asciiTheme="minorEastAsia" w:hAnsiTheme="minorEastAsia"/>
                <w:kern w:val="0"/>
                <w:szCs w:val="21"/>
              </w:rPr>
            </w:pPr>
            <w:r>
              <w:rPr>
                <w:rFonts w:cs="Times New Roman" w:asciiTheme="minorEastAsia" w:hAnsiTheme="minorEastAsia"/>
                <w:szCs w:val="21"/>
              </w:rPr>
              <w:t>化学品、废弃物分类区域明确，规范放置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4.3.8</w:t>
            </w:r>
          </w:p>
        </w:tc>
        <w:tc>
          <w:tcPr>
            <w:tcW w:w="5474" w:type="dxa"/>
            <w:shd w:val="clear" w:color="auto" w:fill="auto"/>
          </w:tcPr>
          <w:p>
            <w:pPr>
              <w:widowControl/>
              <w:spacing w:line="240" w:lineRule="exact"/>
              <w:rPr>
                <w:rFonts w:cs="Times New Roman" w:asciiTheme="minorEastAsia" w:hAnsiTheme="minorEastAsia"/>
                <w:kern w:val="0"/>
                <w:szCs w:val="21"/>
              </w:rPr>
            </w:pPr>
            <w:r>
              <w:rPr>
                <w:rFonts w:cs="Times New Roman" w:asciiTheme="minorEastAsia" w:hAnsiTheme="minorEastAsia"/>
                <w:szCs w:val="21"/>
              </w:rPr>
              <w:t>建立进出库台账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4.4</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楼层或实验室配备了急救药箱，药箱不上锁、药品在保质期内</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实验室内不放无关物品，如电动车、自行车等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4.4.3</w:t>
            </w:r>
          </w:p>
        </w:tc>
        <w:tc>
          <w:tcPr>
            <w:tcW w:w="5474" w:type="dxa"/>
            <w:shd w:val="clear" w:color="auto" w:fill="auto"/>
            <w:vAlign w:val="center"/>
          </w:tcPr>
          <w:p>
            <w:pPr>
              <w:widowControl/>
              <w:spacing w:line="240" w:lineRule="exact"/>
              <w:rPr>
                <w:rFonts w:cs="Times New Roman" w:asciiTheme="minorEastAsia" w:hAnsiTheme="minorEastAsia"/>
                <w:kern w:val="0"/>
                <w:szCs w:val="21"/>
              </w:rPr>
            </w:pPr>
            <w:r>
              <w:rPr>
                <w:rFonts w:cs="Times New Roman" w:asciiTheme="minorEastAsia" w:hAnsiTheme="minorEastAsia"/>
                <w:kern w:val="0"/>
                <w:szCs w:val="21"/>
              </w:rPr>
              <w:t>实验室内不存放或烧煮食物、饮食</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不在实验室内睡觉过夜</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实验室内无吸烟现象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化学、生物类实验室不得使用可燃性蚊香。其它实验室如需使用，其底盘必须是金属的</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4.4.7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屋顶天花板安全固定</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5</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5.1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根据实验室情况配置相应的消防器材（烟感报警器、灭火器、灭火毯、消防栓、手动报警器、沙桶等），并正常有效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实验大楼有逃生线路指示图，并安装了应急指示灯</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灭火器配备数量合理、种类合适，无过期现象，摆放位置利于取用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重点部位有防盗和监控设施，包括剧毒品、病原微生物和放射源存放点等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5.2</w:t>
            </w:r>
          </w:p>
        </w:tc>
        <w:tc>
          <w:tcPr>
            <w:tcW w:w="5474" w:type="dxa"/>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应急喷淋装置</w:t>
            </w:r>
          </w:p>
        </w:tc>
        <w:tc>
          <w:tcPr>
            <w:tcW w:w="715" w:type="dxa"/>
            <w:shd w:val="clear" w:color="auto" w:fill="auto"/>
            <w:vAlign w:val="center"/>
          </w:tcPr>
          <w:p>
            <w:pPr>
              <w:widowControl/>
              <w:spacing w:line="240" w:lineRule="exact"/>
              <w:jc w:val="left"/>
              <w:rPr>
                <w:rFonts w:cs="Times New Roman" w:asciiTheme="minorEastAsia" w:hAnsiTheme="minorEastAsia"/>
                <w:b/>
                <w:bCs/>
                <w:kern w:val="0"/>
                <w:szCs w:val="21"/>
              </w:rPr>
            </w:pPr>
          </w:p>
        </w:tc>
        <w:tc>
          <w:tcPr>
            <w:tcW w:w="900" w:type="dxa"/>
            <w:shd w:val="clear" w:color="auto" w:fill="auto"/>
            <w:vAlign w:val="center"/>
          </w:tcPr>
          <w:p>
            <w:pPr>
              <w:widowControl/>
              <w:spacing w:line="240" w:lineRule="exact"/>
              <w:jc w:val="left"/>
              <w:rPr>
                <w:rFonts w:cs="Times New Roman" w:asciiTheme="minorEastAsia" w:hAnsiTheme="minorEastAsia"/>
                <w:b/>
                <w:bCs/>
                <w:kern w:val="0"/>
                <w:szCs w:val="21"/>
              </w:rPr>
            </w:pPr>
          </w:p>
        </w:tc>
        <w:tc>
          <w:tcPr>
            <w:tcW w:w="904" w:type="dxa"/>
            <w:shd w:val="clear" w:color="auto" w:fill="auto"/>
            <w:vAlign w:val="center"/>
          </w:tcPr>
          <w:p>
            <w:pPr>
              <w:widowControl/>
              <w:spacing w:line="240" w:lineRule="exact"/>
              <w:jc w:val="left"/>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化学和生物类实验室有应急喷淋装置和洗眼装置，且正常有效并有巡检记录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应急喷淋装置水管总阀处常开状，喷头下方无障碍物</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应急喷淋装置水压能保障出水畅通，洗眼装置的水压适中以保证一定的出水高度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5.2.4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实验室内有毛巾或毛巾毯并置于应急喷淋装置附近，随时可用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5.3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通风系统</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5.3.1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配备符合要求的通风系统；对于排放有毒有味废气体的实验室，有吸收过滤装置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5.3.2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通风系统运行正常，有风速测定等维护、检修记录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5.3.3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换气扇使用正常</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5.3.4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屋顶风机固定无松动、无异常噪声</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5.3.5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使用可燃气体场所应采用防爆通风机</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6</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水电安全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6.1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用电基础安全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插头插座功率需匹配，无私自改装现象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不乱拉乱接电线，无电线老化、使用花线和木质配电板的现象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多个大功率仪器不使用同一个接线板</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不能多个接线板串联、接线板不直接放在地面</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无电源插座未固定、插座插头破损现象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大功率仪器（包括空调等）有专用插座，用电负荷满足要求；长期不用时，应拔出电源插头</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无人状态下，充电器（宝）不能充电过夜</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水槽边不安装电源插座，如确实需要，应有防护挡板或防护罩</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实验室和电气设备配备空气开关和漏电保护器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6.1.10</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电线接头绝缘可靠，无裸露连接线，地板上的导线应有盖板或护套</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加热器采用耐高温阻燃导线</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6.1.12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配电柜/箱无物品遮挡并便于操作</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6.2</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下水道畅通，不存在水龙头、水管破损现象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各类链接管无老化破损现象（特别是冷却冷凝系统的橡胶管接口处）</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6.2.3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无自来水龙头开着时人离开的现象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7.1</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化学试剂存放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7.1.1</w:t>
            </w:r>
          </w:p>
        </w:tc>
        <w:tc>
          <w:tcPr>
            <w:tcW w:w="5474" w:type="dxa"/>
            <w:shd w:val="clear" w:color="auto" w:fill="auto"/>
            <w:vAlign w:val="center"/>
          </w:tcPr>
          <w:p>
            <w:pPr>
              <w:widowControl/>
              <w:spacing w:line="240" w:lineRule="exact"/>
              <w:rPr>
                <w:rFonts w:cs="Times New Roman" w:asciiTheme="minorEastAsia" w:hAnsiTheme="minorEastAsia"/>
                <w:b/>
                <w:kern w:val="0"/>
                <w:szCs w:val="21"/>
              </w:rPr>
            </w:pPr>
            <w:r>
              <w:rPr>
                <w:rFonts w:cs="Times New Roman" w:asciiTheme="minorEastAsia" w:hAnsiTheme="minorEastAsia"/>
                <w:kern w:val="0"/>
                <w:szCs w:val="21"/>
              </w:rPr>
              <w:t>有房间内化学品的动态台帐</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有序分类存放（柜子门上粘贴清单），放置位置便于查找取用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强酸与强碱、氧化剂与还原剂等分开存放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固体与液体分开存放（如在同一试剂柜中，液体需放置在下层）</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化学品不存在叠放现象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腐蚀溶剂配有托盘类的二次泄漏防护容器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化学试剂标签无脱落、模糊现象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存放点通风、隔热、避光、安全；有机溶剂远离热源</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无存放大桶试剂现象、无大量存放化学试剂现象（用量较大的试剂存量应控制在一周计划用量之内）</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7.1.10</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如单个实验装置存在10L以上甲类物质储罐，或20L以上乙类物质储罐，或50L以上丙类物质储罐，需加装泄露报警器及通风联动装置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过期药品定期清理，无过期药品累积</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无试剂瓶开口放置现象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7.1.13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易泄漏、挥发的试剂应存放在具有通风、吸附功能的试剂柜内</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7.2</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剧毒品管理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剧毒品购买前须经公安部门审批，并凭证向具有经营许可资质的单位购买</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校职能部门负责校内审批，并保留资料、建立档案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配备专门的保险柜并固定，实行双人双锁保管（只有2名分别掌管了钥匙和密码的保管人同时到场时才能开启保险柜），需配备报警及监控设备</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对于具有高挥发性、低闪点的剧毒品应存放在具有防爆功能的冰箱内，并配备双锁，实行双人双锁保管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执行双人收发、双人运输，有记录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使用时有两人同时在场，且计量取用后立即放回保险柜，并做好记录（双人签字）</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有规范的剧毒品处置方法，双人签字记录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按有关规定对残余、废弃的剧毒品或空瓶进行处置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7.2.9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不得私自从外单位获取剧毒品</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其它管控药品的管理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各类管控药品采购有校内报批流程，并建档</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易制毒品购买前须经公安部门审批, 并凭证向具有经营许可资质的单位购买</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易制毒品分类存放、专人保管，做好领取、使用、处置记录。其中第一类易制毒品实行“五双”管理制度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易制爆品购买前须经公安部门审批, 或按照政府管理的规定要求采购，并向具有经营许可资质的单位购买</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易制爆品分类存放、专人保管，做好领取、使用、处置记录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麻醉药品、精神药品等购买前须向食品药品监督管理部门申请，报批同意后向定点供应商或者定点生产企业采购</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麻醉品和精神类药品储存于专门的保险柜中，有规范的领取、使用、处置台账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7.3.8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爆炸品的采购、运输、存储、使用、销毁按照公安部门的要求执行</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7.4</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实验气体管理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有气体钢瓶台帐，钢瓶颜色和字体清楚，在用气体有检验合格标识。需更换的气瓶应有标识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可燃性气体与氧气等助燃气体不混放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 xml:space="preserve">涉及剧毒、易燃易爆气体的场所，配有通风设施和合适的监控报警装置等；张贴必要的安全警示标识 </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大量惰性气体或CO</w:t>
            </w:r>
            <w:r>
              <w:rPr>
                <w:rFonts w:cs="Times New Roman" w:asciiTheme="minorEastAsia" w:hAnsiTheme="minorEastAsia"/>
                <w:szCs w:val="21"/>
                <w:vertAlign w:val="subscript"/>
              </w:rPr>
              <w:t>2</w:t>
            </w:r>
            <w:r>
              <w:rPr>
                <w:rFonts w:cs="Times New Roman" w:asciiTheme="minorEastAsia" w:hAnsiTheme="minorEastAsia"/>
                <w:szCs w:val="21"/>
              </w:rPr>
              <w:t>存放在有限空间内时需加装氧气含量报警器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危险气体钢瓶存放点通风、远离热源；无气体钢瓶放在走廊、大厅等公共场所的现象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气体钢瓶正确固定，</w:t>
            </w:r>
            <w:r>
              <w:rPr>
                <w:rFonts w:cs="Times New Roman" w:asciiTheme="minorEastAsia" w:hAnsiTheme="minorEastAsia"/>
                <w:szCs w:val="21"/>
              </w:rPr>
              <w:t>避免暴晒，钢瓶放置地面平整干燥</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气体连接管路连接正确、有标识，管路材质选择合适，无破损或老化现象。对于存在多条气体管路的房间张贴了详细的管路图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不能带着减压阀移动钢瓶、不得在地上滚动钢瓶</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时常进行检漏，实验结束后，气体钢瓶总阀已关闭</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7.4.10</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独立的气体钢瓶室有专人管理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7.4.11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气体钢瓶有定期安全检测标识（由供应商负责进行），无过期气体钢瓶，无大量气体钢瓶堆放现象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7.5</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化学废弃物处置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与有资质的处置单位（企业）签约处置化学废弃物</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学校有统一的化学实验废弃物标签，包含废物类别、危险类别、主要成分、产生单位、送储人、日期等信息</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配备了化学实验废弃物分类容器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对化学废弃物进行了分类存放（应避免易产生剧烈反应的物品混放）、包装严密，并贴好标签，及时送学校中转站或收集点</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 xml:space="preserve">定时清运化学实验废弃物，实验室内无大量存放、室外无堆放实验废弃物现象 </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实验废弃物和生活垃圾不混放，不向下水道倾倒废旧化学试剂</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对于产生有毒和异味废气的，有气体吸收装置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7.5.8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锐器废物盛放在纸板箱等不易被刺穿的容器中</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7.6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其它化学安全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学校有统一的试剂标签（用于配置试剂、合成品、样品等），信息包括名称、浓度、责任人、日期、储存条件等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配置试剂、合成品、样品等标签信息明确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盛放配置试剂、合成品等的烧杯、烧瓶不得无盖放置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无使用饮料瓶存放试剂、样品的现象。如确需存放，必须撕去原包装纸，贴上专用标签纸</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原标签纸未撕去的空试剂瓶中不存放其它化学品的现象（除非将原标签撕去、重新贴上专用标签纸）</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用于浸泡玻璃器皿的酸缸、碱缸等有盖子盖上</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不使用破损量筒、试管等玻璃器皿</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涉及危险化学品的实验室化学品安全技术说明书（MSDS）或安全周知卡，放在门上/门边活动袋中</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危险性化学实验有实验指导书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7.6.10</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实验室内有吸液（油）棉/条带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生物安全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8.1</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实验室与人员资质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开展病原微生物相关实验和研究的实验室，须具备相应的安全等级资质和生物危害因子实验活动资格</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开展病原微生物相关实验和研究的人员经过专业培训，并取得相应的“证书”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开展病原微生物实验须向卫生或农业主管部门申报备案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开展未经灭活的高致病性病原微生物（列入一类、二类）相关实验和研究，必须在BSL-3/ABSL-3、BSL-4/ABSL-4实验室中进行</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开展低致病性病原微生物（列入三类、四类），或经灭活的高致病性感染性材料的相关实验和研究，必须在BSL-1/ ABSL-1及以上等级实验室中进行</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饲养实验动物的场所应有资质证书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8.1.7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实验动物需从具有资质的单位购买，具有合格证明</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8.2</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设施与场所</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实验室安全防范设施达到安全要求，BSL-2/ABSL-2及以上安全等级实验室须有门禁和准入制度</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配有符合相应生物安全等级要求的生物安全柜，定期检查生物安全柜风速及高效空气微粒过滤器性能，并做好了记录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储存病原微生物的场所或储柜配备防盗设施，并安装监控报警装置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有高压灭菌器，并能正常工作</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安装了防虫纱窗、入口处有挡鼠板</w:t>
            </w:r>
          </w:p>
        </w:tc>
        <w:tc>
          <w:tcPr>
            <w:tcW w:w="715" w:type="dxa"/>
            <w:shd w:val="clear" w:color="auto" w:fill="auto"/>
          </w:tcPr>
          <w:p>
            <w:pPr>
              <w:jc w:val="cente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8.2.6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传递窗内无物品</w:t>
            </w:r>
          </w:p>
        </w:tc>
        <w:tc>
          <w:tcPr>
            <w:tcW w:w="715" w:type="dxa"/>
            <w:shd w:val="clear" w:color="auto" w:fill="auto"/>
          </w:tcPr>
          <w:p>
            <w:pPr>
              <w:jc w:val="cente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8.3</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操作与管理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采购高致病性病原微生物需经学院和学校审批，报行业主管部门批准，有记录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实验室自行分离的高致病性病原微生物，需按有关规定报卫生或农业主管部门批准，方可保藏</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有病原微生物保藏、实验使用、销毁的记录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在合适的生物安全柜中进行实验</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对病原微生物的操作具有相应的个人防护措施</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BSL-2 /ABSL-2及以上等级实验室，开展病原微生物的相关实验活动应有风险评估和应急预案</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禁止戴实验防护手套操作未受潜在感染性生物材料污染的设施设备（包括门窗、开关、仪器、冰箱、电脑、电话等）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8.3.8</w:t>
            </w:r>
          </w:p>
        </w:tc>
        <w:tc>
          <w:tcPr>
            <w:tcW w:w="5474" w:type="dxa"/>
            <w:shd w:val="clear" w:color="auto" w:fill="auto"/>
            <w:vAlign w:val="center"/>
          </w:tcPr>
          <w:p>
            <w:pPr>
              <w:widowControl/>
              <w:spacing w:line="240" w:lineRule="exact"/>
              <w:jc w:val="left"/>
              <w:rPr>
                <w:rFonts w:cs="Times New Roman" w:asciiTheme="minorEastAsia" w:hAnsiTheme="minorEastAsia"/>
                <w:szCs w:val="21"/>
              </w:rPr>
            </w:pPr>
            <w:r>
              <w:rPr>
                <w:rFonts w:cs="Times New Roman" w:asciiTheme="minorEastAsia" w:hAnsiTheme="minorEastAsia"/>
                <w:szCs w:val="21"/>
              </w:rPr>
              <w:t>用于解剖的实验动物须经过检验检疫合格</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8.3.9</w:t>
            </w:r>
          </w:p>
        </w:tc>
        <w:tc>
          <w:tcPr>
            <w:tcW w:w="5474" w:type="dxa"/>
            <w:shd w:val="clear" w:color="auto" w:fill="auto"/>
            <w:vAlign w:val="center"/>
          </w:tcPr>
          <w:p>
            <w:pPr>
              <w:widowControl/>
              <w:spacing w:line="240" w:lineRule="exact"/>
              <w:jc w:val="left"/>
              <w:rPr>
                <w:rFonts w:cs="Times New Roman" w:asciiTheme="minorEastAsia" w:hAnsiTheme="minorEastAsia"/>
                <w:szCs w:val="21"/>
              </w:rPr>
            </w:pPr>
            <w:r>
              <w:rPr>
                <w:rFonts w:cs="Times New Roman" w:asciiTheme="minorEastAsia" w:hAnsiTheme="minorEastAsia"/>
                <w:szCs w:val="21"/>
              </w:rPr>
              <w:t>解剖实验动物时，必须做好个人防护</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8.4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生物实验废弃物处置</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涉及病原微生物的实验室废弃物必须进行高温高压灭菌或化学浸泡灭菌处理，并有处置的记录。高致病性生物材料废弃物处置实现溯源追踪</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学校有统一的生化固体废弃物标签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配备了生化固废分类容器（一般生化固废使用黄色塑料袋存放），刀片、移液枪头等尖锐物应使用纸板箱外包装以避免穿透伤人</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对生物实验废弃物</w:t>
            </w:r>
            <w:r>
              <w:rPr>
                <w:rFonts w:cs="Times New Roman" w:asciiTheme="minorEastAsia" w:hAnsiTheme="minorEastAsia"/>
                <w:szCs w:val="21"/>
              </w:rPr>
              <w:t>按照是否具有毒性和病原性</w:t>
            </w:r>
            <w:r>
              <w:rPr>
                <w:rFonts w:cs="Times New Roman" w:asciiTheme="minorEastAsia" w:hAnsiTheme="minorEastAsia"/>
                <w:kern w:val="0"/>
                <w:szCs w:val="21"/>
              </w:rPr>
              <w:t>进行分类收集，并贴好标签。</w:t>
            </w:r>
            <w:r>
              <w:rPr>
                <w:rFonts w:cs="Times New Roman" w:asciiTheme="minorEastAsia" w:hAnsiTheme="minorEastAsia"/>
                <w:szCs w:val="21"/>
              </w:rPr>
              <w:t>对有毒有害废弃物经高温高压处置后</w:t>
            </w:r>
            <w:r>
              <w:rPr>
                <w:rFonts w:cs="Times New Roman" w:asciiTheme="minorEastAsia" w:hAnsiTheme="minorEastAsia"/>
                <w:kern w:val="0"/>
                <w:szCs w:val="21"/>
              </w:rPr>
              <w:t>及时送学校中转站或收集点</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实验动物实验结束后，送学校中转站或收集点，统一处理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与有资质的单位签约处置生化废弃物，有处置记录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8.4.7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有毒有害生化实验废弃物和生活垃圾不混放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仪器设备安全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r>
              <w:rPr>
                <w:rFonts w:cs="Times New Roman" w:asciiTheme="minorEastAsia" w:hAnsiTheme="minorEastAsia"/>
                <w:b/>
                <w:kern w:val="0"/>
                <w:szCs w:val="21"/>
              </w:rPr>
              <w:t>.1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建立了设备台帐</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高功率的设备与电路容量相匹配，仪器设备接地良好</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仪器设备使用完后，及时关闭电源，包括电脑显示器电源</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有仪器设备运行、维护的记录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对于高温、高压、高速运动、电磁辐射等特殊设备，对使用者有培训要求，有安全操作规程上墙，有安全警示标识和</w:t>
            </w:r>
            <w:r>
              <w:rPr>
                <w:rFonts w:cs="Times New Roman" w:asciiTheme="minorEastAsia" w:hAnsiTheme="minorEastAsia"/>
                <w:szCs w:val="21"/>
              </w:rPr>
              <w:t>安全警示线（黄色）</w:t>
            </w:r>
            <w:r>
              <w:rPr>
                <w:rFonts w:cs="Times New Roman" w:asciiTheme="minorEastAsia" w:hAnsiTheme="minorEastAsia"/>
                <w:kern w:val="0"/>
                <w:szCs w:val="21"/>
              </w:rPr>
              <w:t>，并配备相应安全防护设施（如防护罩、防护栏、自屏蔽设施等）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szCs w:val="21"/>
              </w:rPr>
              <w:t>对于超高速离心机，需要放置在离心室，在离心过程中，工作人员保持合理安全距离</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无电脑、空调、饮水机等随意开机过夜现象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对于不能断电的特殊仪器设备，采取了必要的防护措施（如双路供电、不间断电源、监控报警等）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.1.9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电子天平不放在阳光直射的地方，且用后及时清理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r>
              <w:rPr>
                <w:rFonts w:cs="Times New Roman" w:asciiTheme="minorEastAsia" w:hAnsiTheme="minorEastAsia"/>
                <w:b/>
                <w:kern w:val="0"/>
                <w:szCs w:val="21"/>
              </w:rPr>
              <w:t>.2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特种设备管理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锅炉、压力容器、起重机械、电梯等通过有资质单位检定，证书在有效期内</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操作人员需持证上岗</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10.2.3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有定期检验维护的记录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r>
              <w:rPr>
                <w:rFonts w:cs="Times New Roman" w:asciiTheme="minorEastAsia" w:hAnsiTheme="minorEastAsia"/>
                <w:b/>
                <w:kern w:val="0"/>
                <w:szCs w:val="21"/>
              </w:rPr>
              <w:t>.3</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冰箱管理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贮存危险化学品的冰箱为防爆冰箱或经过防爆改造的冰箱，禁止使用无霜冰箱储存易燃易爆试剂</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冰箱内存放的物品必须标识明确（包括品名、使用人、日期等），并经常清理，有清理记录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冰箱内储存试剂必须密封好</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无冰箱超期服役现象（一般使用期限控制为10年）</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不在冰箱周围堆放杂物，影响散热</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.3.6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实验室冰箱中不放置食品</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r>
              <w:rPr>
                <w:rFonts w:cs="Times New Roman" w:asciiTheme="minorEastAsia" w:hAnsiTheme="minorEastAsia"/>
                <w:b/>
                <w:kern w:val="0"/>
                <w:szCs w:val="21"/>
              </w:rPr>
              <w:t>.4</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烘箱与电阻炉管理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烘箱、电阻炉无超期服役现象（一般使用期限控制为12年）</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不使用有故障、破损的烘箱、电阻炉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不在烘箱等加热设备内烘烤易燃易爆化学试剂、塑料等易燃物品、不使用塑料筐盛放实验物品在烘箱等加热设备内烘烤</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烘箱、电阻炉等附近不存放气体钢瓶、易燃易爆化学品</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烘箱、电阻炉等加热设备周围要有一定的散热空间，不存在堆放杂物，影响散热的现象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使用烘箱、电阻炉等加热设备时有人值守（或10-15分钟检查一次）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无烘箱位置放置过低、影响物品取用的现象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.4.8</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烘箱、电阻炉等不直接放置在木桌、木板等易燃物品上</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.4.9</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加热设备边上不能放置冰箱、气体钢瓶等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hint="eastAsia" w:cs="Times New Roman" w:asciiTheme="minorEastAsia" w:hAnsiTheme="minorEastAsia"/>
                <w:b/>
                <w:kern w:val="0"/>
                <w:szCs w:val="21"/>
              </w:rPr>
              <w:t>9</w:t>
            </w:r>
            <w:r>
              <w:rPr>
                <w:rFonts w:cs="Times New Roman" w:asciiTheme="minorEastAsia" w:hAnsiTheme="minorEastAsia"/>
                <w:b/>
                <w:kern w:val="0"/>
                <w:szCs w:val="21"/>
              </w:rPr>
              <w:t>.5</w:t>
            </w:r>
          </w:p>
        </w:tc>
        <w:tc>
          <w:tcPr>
            <w:tcW w:w="5474"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明火电炉与电吹风等管理</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.5.1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未经学校安全管理部门许可不使用明火电炉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.5.2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有许可证使用明火电炉的，其使用位置周围无易燃物品，并配备了灭火器、砂桶等灭火设施</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.5.3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不使用明火电炉加热易燃易爆溶剂</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hint="eastAsia" w:cs="Times New Roman" w:asciiTheme="minorEastAsia" w:hAnsiTheme="minorEastAsia"/>
                <w:kern w:val="0"/>
                <w:szCs w:val="21"/>
              </w:rPr>
              <w:t>9</w:t>
            </w:r>
            <w:r>
              <w:rPr>
                <w:rFonts w:cs="Times New Roman" w:asciiTheme="minorEastAsia" w:hAnsiTheme="minorEastAsia"/>
                <w:kern w:val="0"/>
                <w:szCs w:val="21"/>
              </w:rPr>
              <w:t>.5.4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明火电炉、电吹风、电热枪、电烙铁等用毕，及时拔除电源插头</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rPr>
                <w:rFonts w:cs="Times New Roman" w:asciiTheme="minorEastAsia" w:hAnsiTheme="minorEastAsia"/>
                <w:b/>
                <w:kern w:val="0"/>
                <w:szCs w:val="21"/>
              </w:rPr>
            </w:pPr>
            <w:r>
              <w:rPr>
                <w:rFonts w:hint="eastAsia" w:cs="Times New Roman" w:asciiTheme="minorEastAsia" w:hAnsiTheme="minorEastAsia"/>
                <w:b/>
                <w:kern w:val="0"/>
                <w:szCs w:val="21"/>
              </w:rPr>
              <w:t>10</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个人防护与其它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1</w:t>
            </w:r>
            <w:r>
              <w:rPr>
                <w:rFonts w:hint="eastAsia" w:cs="Times New Roman" w:asciiTheme="minorEastAsia" w:hAnsiTheme="minorEastAsia"/>
                <w:b/>
                <w:kern w:val="0"/>
                <w:szCs w:val="21"/>
              </w:rPr>
              <w:t>0</w:t>
            </w:r>
            <w:r>
              <w:rPr>
                <w:rFonts w:cs="Times New Roman" w:asciiTheme="minorEastAsia" w:hAnsiTheme="minorEastAsia"/>
                <w:b/>
                <w:kern w:val="0"/>
                <w:szCs w:val="21"/>
              </w:rPr>
              <w:t>.1</w:t>
            </w:r>
          </w:p>
        </w:tc>
        <w:tc>
          <w:tcPr>
            <w:tcW w:w="7993" w:type="dxa"/>
            <w:gridSpan w:val="4"/>
            <w:shd w:val="clear" w:color="auto" w:fill="auto"/>
            <w:vAlign w:val="center"/>
          </w:tcPr>
          <w:p>
            <w:pPr>
              <w:widowControl/>
              <w:spacing w:line="240" w:lineRule="exact"/>
              <w:jc w:val="left"/>
              <w:rPr>
                <w:rFonts w:cs="Times New Roman" w:asciiTheme="minorEastAsia" w:hAnsiTheme="minorEastAsia"/>
                <w:b/>
                <w:bCs/>
                <w:kern w:val="0"/>
                <w:szCs w:val="21"/>
              </w:rPr>
            </w:pPr>
            <w:r>
              <w:rPr>
                <w:rFonts w:cs="Times New Roman" w:asciiTheme="minorEastAsia" w:hAnsiTheme="minorEastAsia"/>
                <w:b/>
                <w:kern w:val="0"/>
                <w:szCs w:val="21"/>
              </w:rPr>
              <w:t>正确选用防护用品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凡进入实验室人员需穿长袖实验服或防护服</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按需要佩戴防护眼镜（如进行化学实验、有危险的机械操作等）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涉及化学和高温实验时，不得佩戴隐形眼镜</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特殊场所按需佩戴安全帽、防护帽，无长发散露在外的现象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按需要佩戴防护手套（涉及不同的有害化学物质、病原微生物、高温和低温等），并正确选择不同种类和材质的手套</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在特殊的实验室配备和使用呼吸器或面罩（如有挥发性毒物、溅射危险等），并正确选择种类</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.1.7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防化服分散存放在安全场所，紧急情况下便于取用</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b/>
                <w:kern w:val="0"/>
                <w:szCs w:val="21"/>
              </w:rPr>
            </w:pPr>
            <w:r>
              <w:rPr>
                <w:rFonts w:cs="Times New Roman" w:asciiTheme="minorEastAsia" w:hAnsiTheme="minorEastAsia"/>
                <w:b/>
                <w:kern w:val="0"/>
                <w:szCs w:val="21"/>
              </w:rPr>
              <w:t>1</w:t>
            </w:r>
            <w:r>
              <w:rPr>
                <w:rFonts w:hint="eastAsia" w:cs="Times New Roman" w:asciiTheme="minorEastAsia" w:hAnsiTheme="minorEastAsia"/>
                <w:b/>
                <w:kern w:val="0"/>
                <w:szCs w:val="21"/>
              </w:rPr>
              <w:t>0</w:t>
            </w:r>
            <w:r>
              <w:rPr>
                <w:rFonts w:cs="Times New Roman" w:asciiTheme="minorEastAsia" w:hAnsiTheme="minorEastAsia"/>
                <w:b/>
                <w:kern w:val="0"/>
                <w:szCs w:val="21"/>
              </w:rPr>
              <w:t>.2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b/>
                <w:kern w:val="0"/>
                <w:szCs w:val="21"/>
              </w:rPr>
              <w:t>其它</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.2.1</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危险性实验（如高温、高压、高速运转等）时必须有两人在场</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.2.2</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实验时不能脱岗，通宵实验须两人在场</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.2.3</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不穿拖鞋、短裤进入实验室，不露脚趾</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.2.4</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非实验区（如电梯、办公室、休息室、会议室、餐厅等）无穿戴实验服、实验手套等现象</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.2.5</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操作机床等旋转设备时，不穿戴长围巾、丝巾、领带等</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.2.6</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手机、银行卡等不带入高磁场实验室</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0</w:t>
            </w:r>
            <w:r>
              <w:rPr>
                <w:rFonts w:cs="Times New Roman" w:asciiTheme="minorEastAsia" w:hAnsiTheme="minorEastAsia"/>
                <w:kern w:val="0"/>
                <w:szCs w:val="21"/>
              </w:rPr>
              <w:t>.2.7</w:t>
            </w:r>
          </w:p>
        </w:tc>
        <w:tc>
          <w:tcPr>
            <w:tcW w:w="5474" w:type="dxa"/>
            <w:shd w:val="clear" w:color="auto" w:fill="auto"/>
            <w:vAlign w:val="center"/>
          </w:tcPr>
          <w:p>
            <w:pPr>
              <w:widowControl/>
              <w:spacing w:line="240" w:lineRule="exact"/>
              <w:jc w:val="left"/>
              <w:rPr>
                <w:rFonts w:cs="Times New Roman" w:asciiTheme="minorEastAsia" w:hAnsiTheme="minorEastAsia"/>
                <w:kern w:val="0"/>
                <w:szCs w:val="21"/>
              </w:rPr>
            </w:pPr>
            <w:r>
              <w:rPr>
                <w:rFonts w:cs="Times New Roman" w:asciiTheme="minorEastAsia" w:hAnsiTheme="minorEastAsia"/>
                <w:kern w:val="0"/>
                <w:szCs w:val="21"/>
              </w:rPr>
              <w:t>有规范的实验记录</w:t>
            </w:r>
          </w:p>
        </w:tc>
        <w:tc>
          <w:tcPr>
            <w:tcW w:w="715" w:type="dxa"/>
            <w:shd w:val="clear" w:color="auto" w:fill="auto"/>
          </w:tcPr>
          <w:p>
            <w:pPr>
              <w:widowControl/>
              <w:spacing w:line="240" w:lineRule="exact"/>
              <w:jc w:val="center"/>
              <w:rPr>
                <w:rFonts w:cs="Times New Roman" w:asciiTheme="minorEastAsia" w:hAnsiTheme="minorEastAsia"/>
                <w:b/>
                <w:bCs/>
                <w:kern w:val="0"/>
                <w:szCs w:val="21"/>
              </w:rPr>
            </w:pPr>
          </w:p>
        </w:tc>
        <w:tc>
          <w:tcPr>
            <w:tcW w:w="900" w:type="dxa"/>
            <w:shd w:val="clear" w:color="auto" w:fill="auto"/>
          </w:tcPr>
          <w:p>
            <w:pPr>
              <w:widowControl/>
              <w:spacing w:line="240" w:lineRule="exact"/>
              <w:jc w:val="center"/>
              <w:rPr>
                <w:rFonts w:cs="Times New Roman" w:asciiTheme="minorEastAsia" w:hAnsiTheme="minorEastAsia"/>
                <w:b/>
                <w:bCs/>
                <w:kern w:val="0"/>
                <w:szCs w:val="21"/>
              </w:rPr>
            </w:pPr>
          </w:p>
        </w:tc>
        <w:tc>
          <w:tcPr>
            <w:tcW w:w="904" w:type="dxa"/>
            <w:shd w:val="clear" w:color="auto" w:fill="auto"/>
          </w:tcPr>
          <w:p>
            <w:pPr>
              <w:widowControl/>
              <w:spacing w:line="240" w:lineRule="exact"/>
              <w:jc w:val="center"/>
              <w:rPr>
                <w:rFonts w:cs="Times New Roman"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50" w:type="dxa"/>
            <w:gridSpan w:val="5"/>
            <w:shd w:val="clear" w:color="auto" w:fill="auto"/>
          </w:tcPr>
          <w:p>
            <w:pPr>
              <w:widowControl/>
              <w:spacing w:line="240" w:lineRule="exact"/>
              <w:rPr>
                <w:rFonts w:cs="Times New Roman" w:asciiTheme="minorEastAsia" w:hAnsiTheme="minorEastAsia"/>
                <w:b/>
                <w:bCs/>
                <w:kern w:val="0"/>
                <w:szCs w:val="21"/>
              </w:rPr>
            </w:pPr>
            <w:r>
              <w:rPr>
                <w:rFonts w:cs="Times New Roman" w:asciiTheme="minorEastAsia" w:hAnsiTheme="minorEastAsia"/>
                <w:b/>
                <w:bCs/>
                <w:kern w:val="0"/>
                <w:szCs w:val="21"/>
              </w:rPr>
              <w:t>执行情况简况：</w:t>
            </w:r>
          </w:p>
          <w:p>
            <w:pPr>
              <w:widowControl/>
              <w:spacing w:line="400" w:lineRule="exact"/>
              <w:ind w:firstLine="945" w:firstLineChars="450"/>
              <w:rPr>
                <w:rFonts w:hint="eastAsia" w:cs="Times New Roman" w:asciiTheme="minorEastAsia" w:hAnsiTheme="minorEastAsia"/>
                <w:bCs/>
                <w:kern w:val="0"/>
                <w:szCs w:val="21"/>
              </w:rPr>
            </w:pPr>
          </w:p>
          <w:p>
            <w:pPr>
              <w:widowControl/>
              <w:spacing w:line="400" w:lineRule="exact"/>
              <w:ind w:firstLine="945" w:firstLineChars="450"/>
              <w:rPr>
                <w:rFonts w:hint="eastAsia" w:cs="Times New Roman" w:asciiTheme="minorEastAsia" w:hAnsiTheme="minorEastAsia"/>
                <w:bCs/>
                <w:kern w:val="0"/>
                <w:szCs w:val="21"/>
              </w:rPr>
            </w:pPr>
          </w:p>
          <w:p>
            <w:pPr>
              <w:widowControl/>
              <w:spacing w:line="400" w:lineRule="exact"/>
              <w:ind w:firstLine="945" w:firstLineChars="450"/>
              <w:rPr>
                <w:rFonts w:hint="eastAsia" w:cs="Times New Roman" w:asciiTheme="minorEastAsia" w:hAnsiTheme="minorEastAsia"/>
                <w:bCs/>
                <w:kern w:val="0"/>
                <w:szCs w:val="21"/>
              </w:rPr>
            </w:pPr>
          </w:p>
          <w:p>
            <w:pPr>
              <w:widowControl/>
              <w:spacing w:line="400" w:lineRule="exact"/>
              <w:ind w:firstLine="945" w:firstLineChars="450"/>
              <w:rPr>
                <w:rFonts w:cs="Times New Roman" w:asciiTheme="minorEastAsia" w:hAnsiTheme="minorEastAsia"/>
                <w:bCs/>
                <w:kern w:val="0"/>
                <w:szCs w:val="21"/>
              </w:rPr>
            </w:pPr>
          </w:p>
        </w:tc>
      </w:tr>
    </w:tbl>
    <w:p>
      <w:pPr>
        <w:adjustRightInd w:val="0"/>
        <w:snapToGrid w:val="0"/>
        <w:spacing w:beforeLines="50"/>
        <w:jc w:val="left"/>
        <w:rPr>
          <w:rFonts w:cs="Times New Roman" w:asciiTheme="minorEastAsia" w:hAnsiTheme="minorEastAsia"/>
          <w:sz w:val="24"/>
        </w:rPr>
      </w:pPr>
      <w:r>
        <w:rPr>
          <w:rFonts w:cs="Times New Roman" w:asciiTheme="minorEastAsia" w:hAnsiTheme="minorEastAsia"/>
          <w:sz w:val="24"/>
        </w:rPr>
        <w:t>注：请根据实际情况在“符合”或“不符合”、“不适用”栏目中划“√”</w:t>
      </w:r>
    </w:p>
    <w:p>
      <w:pPr>
        <w:adjustRightInd w:val="0"/>
        <w:snapToGrid w:val="0"/>
        <w:spacing w:beforeLines="50" w:line="480" w:lineRule="auto"/>
        <w:jc w:val="left"/>
        <w:rPr>
          <w:rFonts w:cs="Times New Roman" w:asciiTheme="minorEastAsia" w:hAnsiTheme="minorEastAsia"/>
          <w:b/>
          <w:sz w:val="28"/>
          <w:szCs w:val="30"/>
        </w:rPr>
      </w:pPr>
    </w:p>
    <w:p>
      <w:pPr>
        <w:adjustRightInd w:val="0"/>
        <w:snapToGrid w:val="0"/>
        <w:spacing w:beforeLines="50" w:line="480" w:lineRule="auto"/>
        <w:jc w:val="left"/>
        <w:rPr>
          <w:rFonts w:cs="Times New Roman" w:asciiTheme="minorEastAsia" w:hAnsiTheme="minorEastAsia"/>
          <w:b/>
          <w:sz w:val="28"/>
          <w:szCs w:val="30"/>
        </w:rPr>
      </w:pPr>
      <w:r>
        <w:rPr>
          <w:rFonts w:cs="Times New Roman" w:asciiTheme="minorEastAsia" w:hAnsiTheme="minorEastAsia"/>
          <w:b/>
          <w:sz w:val="28"/>
          <w:szCs w:val="30"/>
        </w:rPr>
        <w:t xml:space="preserve">填表人：            </w:t>
      </w:r>
      <w:r>
        <w:rPr>
          <w:rFonts w:hint="eastAsia" w:cs="Times New Roman" w:asciiTheme="minorEastAsia" w:hAnsiTheme="minorEastAsia"/>
          <w:b/>
          <w:sz w:val="28"/>
          <w:szCs w:val="30"/>
        </w:rPr>
        <w:t>填表时间：</w:t>
      </w:r>
    </w:p>
    <w:p>
      <w:pPr>
        <w:adjustRightInd w:val="0"/>
        <w:snapToGrid w:val="0"/>
        <w:spacing w:beforeLines="50" w:line="480" w:lineRule="auto"/>
        <w:jc w:val="left"/>
        <w:rPr>
          <w:rFonts w:cs="Times New Roman" w:asciiTheme="minorEastAsia" w:hAnsiTheme="minorEastAsia"/>
          <w:b/>
          <w:sz w:val="28"/>
          <w:szCs w:val="30"/>
        </w:rPr>
      </w:pPr>
      <w:r>
        <w:rPr>
          <w:rFonts w:cs="Times New Roman" w:asciiTheme="minorEastAsia" w:hAnsiTheme="minorEastAsia"/>
          <w:b/>
          <w:sz w:val="28"/>
          <w:szCs w:val="30"/>
        </w:rPr>
        <w:t>审核（责任）人（签字）：</w:t>
      </w:r>
      <w:r>
        <w:rPr>
          <w:rFonts w:hint="eastAsia" w:cs="Times New Roman" w:asciiTheme="minorEastAsia" w:hAnsiTheme="minorEastAsia"/>
          <w:b/>
          <w:sz w:val="28"/>
          <w:szCs w:val="30"/>
        </w:rPr>
        <w:t xml:space="preserve">               审核时间：</w:t>
      </w:r>
    </w:p>
    <w:p>
      <w:pPr>
        <w:adjustRightInd w:val="0"/>
        <w:snapToGrid w:val="0"/>
        <w:spacing w:line="480" w:lineRule="auto"/>
        <w:rPr>
          <w:rFonts w:ascii="Times New Roman" w:hAnsi="Times New Roman" w:cs="Times New Roman"/>
        </w:rPr>
      </w:pPr>
    </w:p>
    <w:p>
      <w:pPr>
        <w:rPr>
          <w:rFonts w:ascii="Times New Roman" w:hAnsi="Times New Roman" w:cs="Times New Roman"/>
        </w:rPr>
        <w:sectPr>
          <w:footerReference r:id="rId3" w:type="default"/>
          <w:pgSz w:w="11906" w:h="16838"/>
          <w:pgMar w:top="1871" w:right="1361" w:bottom="1871" w:left="1361" w:header="851" w:footer="1361" w:gutter="0"/>
          <w:pgNumType w:start="1"/>
          <w:cols w:space="425" w:num="1"/>
          <w:docGrid w:type="lines" w:linePitch="312" w:charSpace="0"/>
        </w:sectPr>
      </w:pPr>
    </w:p>
    <w:p>
      <w:pPr>
        <w:adjustRightInd w:val="0"/>
        <w:snapToGrid w:val="0"/>
        <w:spacing w:line="560" w:lineRule="exact"/>
        <w:ind w:right="55" w:rightChars="26"/>
        <w:outlineLvl w:val="0"/>
        <w:rPr>
          <w:rFonts w:ascii="Times New Roman" w:hAnsi="Times New Roman" w:eastAsia="黑体" w:cs="Times New Roman"/>
          <w:sz w:val="32"/>
        </w:rPr>
      </w:pPr>
      <w:r>
        <w:rPr>
          <w:rFonts w:ascii="Times New Roman" w:hAnsi="Times New Roman" w:eastAsia="黑体" w:cs="Times New Roman"/>
          <w:sz w:val="32"/>
        </w:rPr>
        <w:t>附件2</w:t>
      </w:r>
    </w:p>
    <w:p>
      <w:pPr>
        <w:adjustRightInd w:val="0"/>
        <w:snapToGrid w:val="0"/>
        <w:spacing w:line="560" w:lineRule="exact"/>
        <w:ind w:right="55" w:rightChars="26"/>
        <w:jc w:val="center"/>
        <w:outlineLvl w:val="0"/>
        <w:rPr>
          <w:rFonts w:ascii="Times New Roman" w:hAnsi="Times New Roman" w:eastAsia="方正小标宋简体" w:cs="Times New Roman"/>
          <w:sz w:val="44"/>
        </w:rPr>
      </w:pPr>
      <w:r>
        <w:rPr>
          <w:rFonts w:ascii="Times New Roman" w:hAnsi="Times New Roman" w:eastAsia="方正小标宋简体" w:cs="Times New Roman"/>
          <w:sz w:val="44"/>
        </w:rPr>
        <w:t>实验</w:t>
      </w:r>
      <w:r>
        <w:rPr>
          <w:rFonts w:hint="eastAsia" w:ascii="Times New Roman" w:hAnsi="Times New Roman" w:eastAsia="方正小标宋简体" w:cs="Times New Roman"/>
          <w:sz w:val="44"/>
        </w:rPr>
        <w:t>实训场</w:t>
      </w:r>
      <w:r>
        <w:rPr>
          <w:rFonts w:ascii="Times New Roman" w:hAnsi="Times New Roman" w:eastAsia="方正小标宋简体" w:cs="Times New Roman"/>
          <w:sz w:val="44"/>
        </w:rPr>
        <w:t>室危险化学品、危险物品安全隐患自查表</w:t>
      </w:r>
    </w:p>
    <w:p>
      <w:pPr>
        <w:adjustRightInd w:val="0"/>
        <w:snapToGrid w:val="0"/>
        <w:spacing w:line="560" w:lineRule="exact"/>
        <w:ind w:right="55" w:rightChars="26"/>
        <w:jc w:val="center"/>
        <w:outlineLvl w:val="0"/>
        <w:rPr>
          <w:rFonts w:ascii="Times New Roman" w:hAnsi="Times New Roman" w:eastAsia="方正小标宋简体" w:cs="Times New Roman"/>
          <w:sz w:val="44"/>
        </w:rPr>
      </w:pPr>
    </w:p>
    <w:p>
      <w:pPr>
        <w:adjustRightInd w:val="0"/>
        <w:snapToGrid w:val="0"/>
        <w:spacing w:line="560" w:lineRule="exact"/>
        <w:ind w:right="55" w:rightChars="26"/>
        <w:outlineLvl w:val="0"/>
        <w:rPr>
          <w:rFonts w:ascii="Times New Roman" w:hAnsi="Times New Roman" w:eastAsia="仿宋_GB2312" w:cs="Times New Roman"/>
          <w:sz w:val="28"/>
          <w:szCs w:val="28"/>
        </w:rPr>
      </w:pPr>
      <w:r>
        <w:rPr>
          <w:rFonts w:ascii="Times New Roman" w:hAnsi="Times New Roman" w:eastAsia="仿宋_GB2312" w:cs="Times New Roman"/>
          <w:sz w:val="28"/>
          <w:szCs w:val="28"/>
        </w:rPr>
        <w:t>单位名称（盖章）：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填表日期：</w:t>
      </w:r>
      <w:r>
        <w:rPr>
          <w:rFonts w:hint="eastAsia" w:ascii="Times New Roman" w:hAnsi="Times New Roman" w:eastAsia="仿宋_GB2312" w:cs="Times New Roman"/>
          <w:sz w:val="28"/>
          <w:szCs w:val="28"/>
        </w:rPr>
        <w:t>2021</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日</w:t>
      </w:r>
    </w:p>
    <w:tbl>
      <w:tblPr>
        <w:tblStyle w:val="5"/>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1291"/>
        <w:gridCol w:w="1248"/>
        <w:gridCol w:w="1644"/>
        <w:gridCol w:w="1427"/>
        <w:gridCol w:w="1416"/>
        <w:gridCol w:w="273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0"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实验室（场所）名称</w:t>
            </w:r>
          </w:p>
        </w:tc>
        <w:tc>
          <w:tcPr>
            <w:tcW w:w="1291"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负责人</w:t>
            </w:r>
          </w:p>
        </w:tc>
        <w:tc>
          <w:tcPr>
            <w:tcW w:w="1248"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职务</w:t>
            </w:r>
          </w:p>
        </w:tc>
        <w:tc>
          <w:tcPr>
            <w:tcW w:w="1644"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联系方式</w:t>
            </w:r>
          </w:p>
        </w:tc>
        <w:tc>
          <w:tcPr>
            <w:tcW w:w="1427"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批准部门</w:t>
            </w:r>
          </w:p>
        </w:tc>
        <w:tc>
          <w:tcPr>
            <w:tcW w:w="1416"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8"/>
              </w:rPr>
            </w:pPr>
            <w:r>
              <w:rPr>
                <w:rFonts w:ascii="Times New Roman" w:hAnsi="Times New Roman" w:eastAsia="仿宋_GB2312" w:cs="Times New Roman"/>
                <w:sz w:val="28"/>
              </w:rPr>
              <w:t>建立年份</w:t>
            </w:r>
          </w:p>
        </w:tc>
        <w:tc>
          <w:tcPr>
            <w:tcW w:w="2733" w:type="dxa"/>
            <w:shd w:val="clear" w:color="auto" w:fill="auto"/>
            <w:vAlign w:val="center"/>
          </w:tcPr>
          <w:p>
            <w:pPr>
              <w:adjustRightInd w:val="0"/>
              <w:snapToGrid w:val="0"/>
              <w:jc w:val="center"/>
              <w:rPr>
                <w:rFonts w:ascii="Times New Roman" w:hAnsi="Times New Roman" w:eastAsia="仿宋_GB2312" w:cs="Times New Roman"/>
                <w:sz w:val="28"/>
              </w:rPr>
            </w:pPr>
            <w:r>
              <w:rPr>
                <w:rFonts w:ascii="Times New Roman" w:hAnsi="Times New Roman" w:eastAsia="仿宋_GB2312" w:cs="Times New Roman"/>
                <w:sz w:val="28"/>
              </w:rPr>
              <w:t>隐患清单</w:t>
            </w:r>
          </w:p>
        </w:tc>
        <w:tc>
          <w:tcPr>
            <w:tcW w:w="1339" w:type="dxa"/>
            <w:shd w:val="clear" w:color="auto" w:fill="auto"/>
            <w:vAlign w:val="center"/>
          </w:tcPr>
          <w:p>
            <w:pPr>
              <w:adjustRightInd w:val="0"/>
              <w:snapToGrid w:val="0"/>
              <w:jc w:val="center"/>
              <w:rPr>
                <w:rFonts w:ascii="Times New Roman" w:hAnsi="Times New Roman" w:eastAsia="仿宋_GB2312" w:cs="Times New Roman"/>
                <w:sz w:val="28"/>
              </w:rPr>
            </w:pPr>
            <w:r>
              <w:rPr>
                <w:rFonts w:ascii="Times New Roman" w:hAnsi="Times New Roman" w:eastAsia="仿宋_GB2312" w:cs="Times New Roman"/>
                <w:sz w:val="28"/>
              </w:rPr>
              <w:t>预计整改完成时间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20"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291"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248"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644"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427"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416" w:type="dxa"/>
            <w:vMerge w:val="restart"/>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2733" w:type="dxa"/>
            <w:shd w:val="clear" w:color="auto" w:fill="auto"/>
            <w:vAlign w:val="center"/>
          </w:tcPr>
          <w:p>
            <w:pPr>
              <w:adjustRightInd w:val="0"/>
              <w:snapToGrid w:val="0"/>
              <w:ind w:right="519" w:rightChars="247"/>
              <w:rPr>
                <w:rFonts w:ascii="Times New Roman" w:hAnsi="Times New Roman" w:eastAsia="仿宋_GB2312" w:cs="Times New Roman"/>
                <w:sz w:val="24"/>
              </w:rPr>
            </w:pPr>
          </w:p>
        </w:tc>
        <w:tc>
          <w:tcPr>
            <w:tcW w:w="1339" w:type="dxa"/>
            <w:vMerge w:val="restart"/>
            <w:shd w:val="clear" w:color="auto" w:fill="auto"/>
            <w:vAlign w:val="center"/>
          </w:tcPr>
          <w:p>
            <w:pPr>
              <w:adjustRightInd w:val="0"/>
              <w:snapToGrid w:val="0"/>
              <w:jc w:val="center"/>
              <w:outlineLvl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vAlign w:val="center"/>
          </w:tcPr>
          <w:p>
            <w:pPr>
              <w:adjustRightInd w:val="0"/>
              <w:snapToGrid w:val="0"/>
              <w:ind w:right="519" w:rightChars="247"/>
              <w:jc w:val="left"/>
              <w:rPr>
                <w:rFonts w:ascii="Times New Roman" w:hAnsi="Times New Roman" w:eastAsia="仿宋_GB2312" w:cs="Times New Roman"/>
                <w:sz w:val="28"/>
                <w:szCs w:val="28"/>
              </w:rPr>
            </w:pPr>
          </w:p>
        </w:tc>
        <w:tc>
          <w:tcPr>
            <w:tcW w:w="1339"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vAlign w:val="center"/>
          </w:tcPr>
          <w:p>
            <w:pPr>
              <w:adjustRightInd w:val="0"/>
              <w:snapToGrid w:val="0"/>
              <w:ind w:right="519" w:rightChars="247"/>
              <w:jc w:val="left"/>
              <w:rPr>
                <w:rFonts w:ascii="Times New Roman" w:hAnsi="Times New Roman" w:eastAsia="仿宋_GB2312" w:cs="Times New Roman"/>
                <w:sz w:val="24"/>
              </w:rPr>
            </w:pPr>
          </w:p>
        </w:tc>
        <w:tc>
          <w:tcPr>
            <w:tcW w:w="1339"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vAlign w:val="center"/>
          </w:tcPr>
          <w:p>
            <w:pPr>
              <w:adjustRightInd w:val="0"/>
              <w:snapToGrid w:val="0"/>
              <w:ind w:right="519" w:rightChars="247"/>
              <w:jc w:val="left"/>
              <w:rPr>
                <w:rFonts w:ascii="Times New Roman" w:hAnsi="Times New Roman" w:eastAsia="仿宋_GB2312" w:cs="Times New Roman"/>
                <w:sz w:val="24"/>
              </w:rPr>
            </w:pPr>
          </w:p>
        </w:tc>
        <w:tc>
          <w:tcPr>
            <w:tcW w:w="1339"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20"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291"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248"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644"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427"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1416" w:type="dxa"/>
            <w:shd w:val="clear" w:color="auto" w:fill="auto"/>
            <w:vAlign w:val="center"/>
          </w:tcPr>
          <w:p>
            <w:pPr>
              <w:adjustRightInd w:val="0"/>
              <w:snapToGrid w:val="0"/>
              <w:ind w:right="55" w:rightChars="26"/>
              <w:jc w:val="center"/>
              <w:outlineLvl w:val="0"/>
              <w:rPr>
                <w:rFonts w:ascii="Times New Roman" w:hAnsi="Times New Roman" w:eastAsia="仿宋_GB2312" w:cs="Times New Roman"/>
                <w:sz w:val="24"/>
              </w:rPr>
            </w:pPr>
          </w:p>
        </w:tc>
        <w:tc>
          <w:tcPr>
            <w:tcW w:w="2733" w:type="dxa"/>
            <w:shd w:val="clear" w:color="auto" w:fill="auto"/>
          </w:tcPr>
          <w:p>
            <w:pPr>
              <w:adjustRightInd w:val="0"/>
              <w:snapToGrid w:val="0"/>
              <w:ind w:right="519" w:rightChars="247"/>
              <w:jc w:val="center"/>
              <w:rPr>
                <w:rFonts w:ascii="Times New Roman" w:hAnsi="Times New Roman" w:eastAsia="仿宋_GB2312" w:cs="Times New Roman"/>
                <w:sz w:val="24"/>
              </w:rPr>
            </w:pPr>
          </w:p>
        </w:tc>
        <w:tc>
          <w:tcPr>
            <w:tcW w:w="1339" w:type="dxa"/>
            <w:shd w:val="clear" w:color="auto" w:fill="auto"/>
            <w:vAlign w:val="center"/>
          </w:tcPr>
          <w:p>
            <w:pPr>
              <w:adjustRightInd w:val="0"/>
              <w:snapToGrid w:val="0"/>
              <w:jc w:val="center"/>
              <w:outlineLvl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restart"/>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restart"/>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vAlign w:val="center"/>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restart"/>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3120"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91"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248"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644"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27"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1416" w:type="dxa"/>
            <w:vMerge w:val="continue"/>
            <w:shd w:val="clear" w:color="auto" w:fill="auto"/>
          </w:tcPr>
          <w:p>
            <w:pPr>
              <w:adjustRightInd w:val="0"/>
              <w:snapToGrid w:val="0"/>
              <w:ind w:right="55" w:rightChars="26"/>
              <w:outlineLvl w:val="0"/>
              <w:rPr>
                <w:rFonts w:ascii="Times New Roman" w:hAnsi="Times New Roman" w:eastAsia="仿宋_GB2312" w:cs="Times New Roman"/>
                <w:sz w:val="28"/>
                <w:szCs w:val="28"/>
              </w:rPr>
            </w:pPr>
          </w:p>
        </w:tc>
        <w:tc>
          <w:tcPr>
            <w:tcW w:w="2733" w:type="dxa"/>
            <w:shd w:val="clear" w:color="auto" w:fill="auto"/>
          </w:tcPr>
          <w:p>
            <w:pPr>
              <w:adjustRightInd w:val="0"/>
              <w:snapToGrid w:val="0"/>
              <w:ind w:right="519" w:rightChars="247"/>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39" w:type="dxa"/>
            <w:shd w:val="clear" w:color="auto" w:fill="auto"/>
          </w:tcPr>
          <w:p>
            <w:pPr>
              <w:adjustRightInd w:val="0"/>
              <w:snapToGrid w:val="0"/>
              <w:ind w:right="55" w:rightChars="26"/>
              <w:outlineLvl w:val="0"/>
              <w:rPr>
                <w:rFonts w:ascii="Times New Roman" w:hAnsi="Times New Roman" w:eastAsia="仿宋_GB2312" w:cs="Times New Roman"/>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6885" cy="2470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688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ascii="楷体" w:hAnsi="楷体" w:eastAsia="楷体" w:cs="仿宋_GB2312"/>
                              <w:sz w:val="30"/>
                              <w:szCs w:val="30"/>
                            </w:rPr>
                          </w:pPr>
                          <w:r>
                            <w:rPr>
                              <w:rFonts w:hint="eastAsia" w:ascii="楷体" w:hAnsi="楷体" w:eastAsia="楷体" w:cs="仿宋_GB2312"/>
                              <w:sz w:val="30"/>
                              <w:szCs w:val="30"/>
                            </w:rPr>
                            <w:t>－</w:t>
                          </w:r>
                          <w:r>
                            <w:rPr>
                              <w:rFonts w:hint="eastAsia" w:ascii="楷体" w:hAnsi="楷体" w:eastAsia="楷体" w:cs="仿宋_GB2312"/>
                              <w:sz w:val="30"/>
                              <w:szCs w:val="30"/>
                            </w:rPr>
                            <w:fldChar w:fldCharType="begin"/>
                          </w:r>
                          <w:r>
                            <w:rPr>
                              <w:rFonts w:hint="eastAsia" w:ascii="楷体" w:hAnsi="楷体" w:eastAsia="楷体" w:cs="仿宋_GB2312"/>
                              <w:sz w:val="30"/>
                              <w:szCs w:val="30"/>
                            </w:rPr>
                            <w:instrText xml:space="preserve"> PAGE  \* MERGEFORMAT </w:instrText>
                          </w:r>
                          <w:r>
                            <w:rPr>
                              <w:rFonts w:hint="eastAsia" w:ascii="楷体" w:hAnsi="楷体" w:eastAsia="楷体" w:cs="仿宋_GB2312"/>
                              <w:sz w:val="30"/>
                              <w:szCs w:val="30"/>
                            </w:rPr>
                            <w:fldChar w:fldCharType="separate"/>
                          </w:r>
                          <w:r>
                            <w:rPr>
                              <w:rFonts w:ascii="楷体" w:hAnsi="楷体" w:eastAsia="楷体" w:cs="仿宋_GB2312"/>
                              <w:sz w:val="30"/>
                              <w:szCs w:val="30"/>
                            </w:rPr>
                            <w:t>12</w:t>
                          </w:r>
                          <w:r>
                            <w:rPr>
                              <w:rFonts w:hint="eastAsia" w:ascii="楷体" w:hAnsi="楷体" w:eastAsia="楷体" w:cs="仿宋_GB2312"/>
                              <w:sz w:val="30"/>
                              <w:szCs w:val="30"/>
                            </w:rPr>
                            <w:fldChar w:fldCharType="end"/>
                          </w:r>
                          <w:r>
                            <w:rPr>
                              <w:rFonts w:hint="eastAsia" w:ascii="楷体" w:hAnsi="楷体" w:eastAsia="楷体" w:cs="仿宋_GB2312"/>
                              <w:sz w:val="30"/>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9.45pt;width:37.55pt;mso-position-horizontal:center;mso-position-horizontal-relative:margin;mso-wrap-style:none;z-index:251659264;mso-width-relative:page;mso-height-relative:page;" filled="f" stroked="f" coordsize="21600,21600" o:gfxdata="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rrF40wAAAAMBAAAPAAAAAAAAAAEAIAAAACIAAABkcnMvZG93bnJldi54&#10;bWxQSwECFAAUAAAACACHTuJAMLwc8zgCAABhBAAADgAAAAAAAAABACAAAAAiAQAAZHJzL2Uyb0Rv&#10;Yy54bWxQSwUGAAAAAAYABgBZAQAAzAUAAAAA&#10;">
              <v:fill on="f" focussize="0,0"/>
              <v:stroke on="f" weight="0.5pt"/>
              <v:imagedata o:title=""/>
              <o:lock v:ext="edit" aspectratio="f"/>
              <v:textbox inset="0mm,0mm,0mm,0mm" style="mso-fit-shape-to-text:t;">
                <w:txbxContent>
                  <w:p>
                    <w:pPr>
                      <w:pStyle w:val="3"/>
                      <w:rPr>
                        <w:rFonts w:ascii="楷体" w:hAnsi="楷体" w:eastAsia="楷体" w:cs="仿宋_GB2312"/>
                        <w:sz w:val="30"/>
                        <w:szCs w:val="30"/>
                      </w:rPr>
                    </w:pPr>
                    <w:r>
                      <w:rPr>
                        <w:rFonts w:hint="eastAsia" w:ascii="楷体" w:hAnsi="楷体" w:eastAsia="楷体" w:cs="仿宋_GB2312"/>
                        <w:sz w:val="30"/>
                        <w:szCs w:val="30"/>
                      </w:rPr>
                      <w:t>－</w:t>
                    </w:r>
                    <w:r>
                      <w:rPr>
                        <w:rFonts w:hint="eastAsia" w:ascii="楷体" w:hAnsi="楷体" w:eastAsia="楷体" w:cs="仿宋_GB2312"/>
                        <w:sz w:val="30"/>
                        <w:szCs w:val="30"/>
                      </w:rPr>
                      <w:fldChar w:fldCharType="begin"/>
                    </w:r>
                    <w:r>
                      <w:rPr>
                        <w:rFonts w:hint="eastAsia" w:ascii="楷体" w:hAnsi="楷体" w:eastAsia="楷体" w:cs="仿宋_GB2312"/>
                        <w:sz w:val="30"/>
                        <w:szCs w:val="30"/>
                      </w:rPr>
                      <w:instrText xml:space="preserve"> PAGE  \* MERGEFORMAT </w:instrText>
                    </w:r>
                    <w:r>
                      <w:rPr>
                        <w:rFonts w:hint="eastAsia" w:ascii="楷体" w:hAnsi="楷体" w:eastAsia="楷体" w:cs="仿宋_GB2312"/>
                        <w:sz w:val="30"/>
                        <w:szCs w:val="30"/>
                      </w:rPr>
                      <w:fldChar w:fldCharType="separate"/>
                    </w:r>
                    <w:r>
                      <w:rPr>
                        <w:rFonts w:ascii="楷体" w:hAnsi="楷体" w:eastAsia="楷体" w:cs="仿宋_GB2312"/>
                        <w:sz w:val="30"/>
                        <w:szCs w:val="30"/>
                      </w:rPr>
                      <w:t>12</w:t>
                    </w:r>
                    <w:r>
                      <w:rPr>
                        <w:rFonts w:hint="eastAsia" w:ascii="楷体" w:hAnsi="楷体" w:eastAsia="楷体" w:cs="仿宋_GB2312"/>
                        <w:sz w:val="30"/>
                        <w:szCs w:val="30"/>
                      </w:rPr>
                      <w:fldChar w:fldCharType="end"/>
                    </w:r>
                    <w:r>
                      <w:rPr>
                        <w:rFonts w:hint="eastAsia" w:ascii="楷体" w:hAnsi="楷体" w:eastAsia="楷体" w:cs="仿宋_GB2312"/>
                        <w:sz w:val="30"/>
                        <w:szCs w:val="3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ED"/>
    <w:rsid w:val="00085866"/>
    <w:rsid w:val="000B1B7D"/>
    <w:rsid w:val="00103B35"/>
    <w:rsid w:val="001304B7"/>
    <w:rsid w:val="001F690F"/>
    <w:rsid w:val="00215D28"/>
    <w:rsid w:val="00233370"/>
    <w:rsid w:val="00240E47"/>
    <w:rsid w:val="00251FB5"/>
    <w:rsid w:val="00270339"/>
    <w:rsid w:val="002C1A89"/>
    <w:rsid w:val="0034699B"/>
    <w:rsid w:val="00393677"/>
    <w:rsid w:val="003D2317"/>
    <w:rsid w:val="003E5C33"/>
    <w:rsid w:val="00485B8E"/>
    <w:rsid w:val="004B02BD"/>
    <w:rsid w:val="004F6F3B"/>
    <w:rsid w:val="00531AFF"/>
    <w:rsid w:val="00536E7C"/>
    <w:rsid w:val="00547EA2"/>
    <w:rsid w:val="005704EB"/>
    <w:rsid w:val="005D23A4"/>
    <w:rsid w:val="005D775C"/>
    <w:rsid w:val="005E059F"/>
    <w:rsid w:val="00624220"/>
    <w:rsid w:val="00636DBA"/>
    <w:rsid w:val="006B548E"/>
    <w:rsid w:val="006C5E9A"/>
    <w:rsid w:val="00725CD5"/>
    <w:rsid w:val="00731E5A"/>
    <w:rsid w:val="007534E7"/>
    <w:rsid w:val="007536C0"/>
    <w:rsid w:val="007A4C53"/>
    <w:rsid w:val="007C045B"/>
    <w:rsid w:val="007C10FC"/>
    <w:rsid w:val="007C3937"/>
    <w:rsid w:val="0080595D"/>
    <w:rsid w:val="008238FE"/>
    <w:rsid w:val="008426C7"/>
    <w:rsid w:val="008C0D13"/>
    <w:rsid w:val="008C2627"/>
    <w:rsid w:val="008E5571"/>
    <w:rsid w:val="008F2058"/>
    <w:rsid w:val="00905B0F"/>
    <w:rsid w:val="009063FD"/>
    <w:rsid w:val="009772E5"/>
    <w:rsid w:val="00990EF3"/>
    <w:rsid w:val="009931E2"/>
    <w:rsid w:val="009A369B"/>
    <w:rsid w:val="009D74A4"/>
    <w:rsid w:val="00A03D8A"/>
    <w:rsid w:val="00A22518"/>
    <w:rsid w:val="00AE0390"/>
    <w:rsid w:val="00B616B0"/>
    <w:rsid w:val="00B81319"/>
    <w:rsid w:val="00BD69AD"/>
    <w:rsid w:val="00BF3F00"/>
    <w:rsid w:val="00C16D2C"/>
    <w:rsid w:val="00CC4560"/>
    <w:rsid w:val="00CD36FA"/>
    <w:rsid w:val="00CE0FED"/>
    <w:rsid w:val="00CE74DA"/>
    <w:rsid w:val="00CF2932"/>
    <w:rsid w:val="00CF3D05"/>
    <w:rsid w:val="00D23766"/>
    <w:rsid w:val="00D368F3"/>
    <w:rsid w:val="00D86033"/>
    <w:rsid w:val="00DC12F9"/>
    <w:rsid w:val="00E610A5"/>
    <w:rsid w:val="00E633F7"/>
    <w:rsid w:val="00E972CF"/>
    <w:rsid w:val="00EA15CE"/>
    <w:rsid w:val="00EB3C10"/>
    <w:rsid w:val="00ED002C"/>
    <w:rsid w:val="00EF2CCE"/>
    <w:rsid w:val="00F02074"/>
    <w:rsid w:val="00F3029A"/>
    <w:rsid w:val="00F457B8"/>
    <w:rsid w:val="00F66710"/>
    <w:rsid w:val="00F76259"/>
    <w:rsid w:val="00F95501"/>
    <w:rsid w:val="00FB094C"/>
    <w:rsid w:val="00FD07E7"/>
    <w:rsid w:val="00FD14BB"/>
    <w:rsid w:val="00FE3872"/>
    <w:rsid w:val="00FF6656"/>
    <w:rsid w:val="53623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character" w:customStyle="1" w:styleId="7">
    <w:name w:val="页脚 Char"/>
    <w:basedOn w:val="6"/>
    <w:link w:val="3"/>
    <w:uiPriority w:val="0"/>
    <w:rPr>
      <w:sz w:val="18"/>
      <w:szCs w:val="18"/>
    </w:rPr>
  </w:style>
  <w:style w:type="character" w:customStyle="1" w:styleId="8">
    <w:name w:val="页脚 Char1"/>
    <w:basedOn w:val="6"/>
    <w:semiHidden/>
    <w:qFormat/>
    <w:uiPriority w:val="99"/>
    <w:rPr>
      <w:sz w:val="18"/>
      <w:szCs w:val="18"/>
    </w:rPr>
  </w:style>
  <w:style w:type="character" w:customStyle="1" w:styleId="9">
    <w:name w:val="页眉 Char"/>
    <w:basedOn w:val="6"/>
    <w:link w:val="4"/>
    <w:qFormat/>
    <w:uiPriority w:val="0"/>
    <w:rPr>
      <w:sz w:val="18"/>
      <w:szCs w:val="24"/>
    </w:rPr>
  </w:style>
  <w:style w:type="character" w:customStyle="1" w:styleId="10">
    <w:name w:val="页眉 Char1"/>
    <w:basedOn w:val="6"/>
    <w:semiHidden/>
    <w:qFormat/>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1356</Words>
  <Characters>7734</Characters>
  <Lines>64</Lines>
  <Paragraphs>18</Paragraphs>
  <TotalTime>4</TotalTime>
  <ScaleCrop>false</ScaleCrop>
  <LinksUpToDate>false</LinksUpToDate>
  <CharactersWithSpaces>9072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2021-09-22T01:17:00Z</dcterms:created>
  <dc:creator>admin</dc:creator>
  <cp:lastModifiedBy>admin</cp:lastModifiedBy>
  <cp:lastPrinted>2021-04-25T08:48:00Z</cp:lastPrinted>
  <dcterms:modified xsi:type="dcterms:W3CDTF">2021-10-25T08:40:52Z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0C60A1004EE94C5DA0851BDA0BF027E3</vt:lpwstr>
  </property>
</Properties>
</file>