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BC" w:rsidRDefault="00137BBC" w:rsidP="00936F4C">
      <w:pPr>
        <w:jc w:val="center"/>
        <w:rPr>
          <w:rFonts w:ascii="仿宋" w:eastAsia="仿宋" w:hAnsi="仿宋" w:cs="仿宋"/>
          <w:color w:val="000000" w:themeColor="text1"/>
        </w:rPr>
      </w:pPr>
      <w:bookmarkStart w:id="0" w:name="_Toc19691"/>
      <w:bookmarkStart w:id="1" w:name="_Toc333499398"/>
      <w:bookmarkStart w:id="2" w:name="_Toc179715683"/>
      <w:bookmarkStart w:id="3" w:name="_Toc152047191"/>
      <w:bookmarkStart w:id="4" w:name="_Toc144974394"/>
      <w:bookmarkStart w:id="5" w:name="_GoBack"/>
      <w:bookmarkEnd w:id="5"/>
      <w:r>
        <w:rPr>
          <w:rFonts w:ascii="仿宋" w:eastAsia="仿宋" w:hAnsi="仿宋" w:cs="仿宋" w:hint="eastAsia"/>
          <w:color w:val="000000" w:themeColor="text1"/>
        </w:rPr>
        <w:t>苏州健雄职业技术学院</w:t>
      </w:r>
    </w:p>
    <w:p w:rsidR="00936F4C" w:rsidRPr="00936F4C" w:rsidRDefault="00137BBC" w:rsidP="00936F4C">
      <w:pPr>
        <w:jc w:val="center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图书馆</w:t>
      </w:r>
      <w:r w:rsidR="00936F4C" w:rsidRPr="00936F4C">
        <w:rPr>
          <w:rFonts w:ascii="仿宋" w:eastAsia="仿宋" w:hAnsi="仿宋" w:cs="仿宋" w:hint="eastAsia"/>
          <w:color w:val="000000" w:themeColor="text1"/>
        </w:rPr>
        <w:t>消防系统改造项目招标公告</w:t>
      </w:r>
    </w:p>
    <w:p w:rsidR="00F14FD2" w:rsidRPr="00F14FD2" w:rsidRDefault="00F14FD2" w:rsidP="00F14FD2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1．招标条件</w:t>
      </w:r>
      <w:bookmarkEnd w:id="0"/>
      <w:bookmarkEnd w:id="1"/>
      <w:bookmarkEnd w:id="2"/>
      <w:bookmarkEnd w:id="3"/>
      <w:bookmarkEnd w:id="4"/>
    </w:p>
    <w:p w:rsidR="00F14FD2" w:rsidRPr="00F14FD2" w:rsidRDefault="00F14FD2" w:rsidP="00137BBC">
      <w:pPr>
        <w:ind w:firstLineChars="150" w:firstLine="315"/>
        <w:jc w:val="left"/>
        <w:rPr>
          <w:rFonts w:ascii="仿宋" w:eastAsia="仿宋" w:hAnsi="仿宋" w:cs="仿宋"/>
          <w:color w:val="000000" w:themeColor="text1"/>
        </w:rPr>
      </w:pPr>
      <w:r w:rsidRPr="00F14FD2">
        <w:rPr>
          <w:rFonts w:ascii="仿宋" w:eastAsia="仿宋" w:hAnsi="仿宋" w:cs="仿宋" w:hint="eastAsia"/>
          <w:color w:val="000000" w:themeColor="text1"/>
        </w:rPr>
        <w:t>本招标项目</w:t>
      </w:r>
      <w:r w:rsidR="00137BBC" w:rsidRPr="00137BBC">
        <w:rPr>
          <w:rFonts w:ascii="仿宋" w:eastAsia="仿宋" w:hAnsi="仿宋" w:cs="仿宋" w:hint="eastAsia"/>
          <w:color w:val="000000" w:themeColor="text1"/>
          <w:u w:val="single"/>
        </w:rPr>
        <w:t>苏州健雄职业技术学院图书馆</w:t>
      </w:r>
      <w:r w:rsidR="00F201AB">
        <w:rPr>
          <w:rFonts w:ascii="仿宋" w:eastAsia="仿宋" w:hAnsi="仿宋" w:cs="仿宋" w:hint="eastAsia"/>
          <w:color w:val="000000" w:themeColor="text1"/>
          <w:u w:val="single"/>
        </w:rPr>
        <w:t>所有</w:t>
      </w:r>
      <w:r w:rsidRPr="00137BBC">
        <w:rPr>
          <w:rFonts w:ascii="仿宋" w:eastAsia="仿宋" w:hAnsi="仿宋" w:cs="仿宋" w:hint="eastAsia"/>
          <w:color w:val="000000" w:themeColor="text1"/>
          <w:u w:val="single"/>
        </w:rPr>
        <w:t>消防系统改造</w:t>
      </w:r>
      <w:r w:rsidR="00137BBC">
        <w:rPr>
          <w:rFonts w:ascii="仿宋" w:eastAsia="仿宋" w:hAnsi="仿宋" w:cs="仿宋" w:hint="eastAsia"/>
          <w:color w:val="000000" w:themeColor="text1"/>
          <w:u w:val="single"/>
        </w:rPr>
        <w:t>、更换</w:t>
      </w:r>
      <w:r w:rsidRPr="00137BBC">
        <w:rPr>
          <w:rFonts w:ascii="仿宋" w:eastAsia="仿宋" w:hAnsi="仿宋" w:cs="仿宋" w:hint="eastAsia"/>
          <w:color w:val="000000" w:themeColor="text1"/>
          <w:u w:val="single"/>
        </w:rPr>
        <w:t>项目</w:t>
      </w:r>
      <w:r w:rsidR="00137BBC">
        <w:rPr>
          <w:rFonts w:ascii="仿宋" w:eastAsia="仿宋" w:hAnsi="仿宋" w:cs="仿宋" w:hint="eastAsia"/>
          <w:color w:val="000000" w:themeColor="text1"/>
        </w:rPr>
        <w:t>，</w:t>
      </w:r>
      <w:r w:rsidRPr="00F14FD2">
        <w:rPr>
          <w:rFonts w:ascii="仿宋" w:eastAsia="仿宋" w:hAnsi="仿宋" w:cs="仿宋" w:hint="eastAsia"/>
          <w:color w:val="000000" w:themeColor="text1"/>
        </w:rPr>
        <w:t>建设单位为</w:t>
      </w:r>
      <w:r w:rsidR="00137BBC" w:rsidRPr="00137BBC">
        <w:rPr>
          <w:rFonts w:ascii="仿宋" w:eastAsia="仿宋" w:hAnsi="仿宋" w:cs="仿宋" w:hint="eastAsia"/>
          <w:color w:val="000000" w:themeColor="text1"/>
          <w:u w:val="single"/>
        </w:rPr>
        <w:t>苏州健雄职业技术学院</w:t>
      </w:r>
      <w:r w:rsidRPr="00F14FD2">
        <w:rPr>
          <w:rFonts w:ascii="仿宋" w:eastAsia="仿宋" w:hAnsi="仿宋" w:cs="仿宋" w:hint="eastAsia"/>
          <w:color w:val="000000" w:themeColor="text1"/>
        </w:rPr>
        <w:t>，项目已具备招标条件，现进行公开招标，特邀请有意向的潜在投标人(以下简称申请人)提出投标申请。</w:t>
      </w:r>
    </w:p>
    <w:p w:rsidR="00F14FD2" w:rsidRPr="00F14FD2" w:rsidRDefault="00F14FD2" w:rsidP="00F14FD2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6" w:name="_Toc24460"/>
      <w:bookmarkStart w:id="7" w:name="_Toc333499399"/>
      <w:bookmarkStart w:id="8" w:name="_Toc179715684"/>
      <w:bookmarkStart w:id="9" w:name="_Toc152047192"/>
      <w:bookmarkStart w:id="10" w:name="_Toc144974395"/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2．项目概况与招标范围</w:t>
      </w:r>
      <w:bookmarkEnd w:id="6"/>
      <w:bookmarkEnd w:id="7"/>
      <w:bookmarkEnd w:id="8"/>
      <w:bookmarkEnd w:id="9"/>
      <w:bookmarkEnd w:id="10"/>
    </w:p>
    <w:p w:rsidR="00F14FD2" w:rsidRPr="00F14FD2" w:rsidRDefault="00F14FD2" w:rsidP="00F14FD2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</w:rPr>
      </w:pPr>
      <w:r w:rsidRPr="00F14FD2">
        <w:rPr>
          <w:rFonts w:ascii="仿宋" w:eastAsia="仿宋" w:hAnsi="仿宋" w:cs="仿宋" w:hint="eastAsia"/>
          <w:color w:val="000000" w:themeColor="text1"/>
        </w:rPr>
        <w:t xml:space="preserve">2.1工程特征： </w:t>
      </w:r>
      <w:r w:rsidRPr="00F14FD2">
        <w:rPr>
          <w:rFonts w:ascii="仿宋" w:eastAsia="仿宋" w:hAnsi="仿宋" w:cs="仿宋" w:hint="eastAsia"/>
          <w:color w:val="000000" w:themeColor="text1"/>
          <w:u w:val="single"/>
        </w:rPr>
        <w:t xml:space="preserve"> 改造</w:t>
      </w:r>
      <w:r w:rsidR="00137BBC">
        <w:rPr>
          <w:rFonts w:ascii="仿宋" w:eastAsia="仿宋" w:hAnsi="仿宋" w:cs="仿宋" w:hint="eastAsia"/>
          <w:color w:val="000000" w:themeColor="text1"/>
          <w:u w:val="single"/>
        </w:rPr>
        <w:t>、更换</w:t>
      </w:r>
      <w:r w:rsidRPr="00F14FD2">
        <w:rPr>
          <w:rFonts w:ascii="仿宋" w:eastAsia="仿宋" w:hAnsi="仿宋" w:cs="仿宋" w:hint="eastAsia"/>
          <w:color w:val="000000" w:themeColor="text1"/>
          <w:u w:val="single"/>
        </w:rPr>
        <w:t>项目</w:t>
      </w:r>
    </w:p>
    <w:p w:rsidR="00F14FD2" w:rsidRPr="00F14FD2" w:rsidRDefault="00F14FD2" w:rsidP="00F14FD2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  <w:u w:val="single"/>
        </w:rPr>
      </w:pPr>
      <w:r w:rsidRPr="00F14FD2">
        <w:rPr>
          <w:rFonts w:ascii="仿宋" w:eastAsia="仿宋" w:hAnsi="仿宋" w:cs="仿宋" w:hint="eastAsia"/>
          <w:color w:val="000000" w:themeColor="text1"/>
        </w:rPr>
        <w:t>2.2建设地点：</w:t>
      </w:r>
      <w:r w:rsidR="00137BBC">
        <w:rPr>
          <w:rFonts w:ascii="仿宋" w:eastAsia="仿宋" w:hAnsi="仿宋" w:cs="仿宋" w:hint="eastAsia"/>
          <w:color w:val="000000" w:themeColor="text1"/>
        </w:rPr>
        <w:t xml:space="preserve"> </w:t>
      </w:r>
      <w:r w:rsidR="00137BBC">
        <w:rPr>
          <w:rFonts w:ascii="仿宋" w:eastAsia="仿宋" w:hAnsi="仿宋" w:cs="仿宋" w:hint="eastAsia"/>
          <w:color w:val="000000" w:themeColor="text1"/>
          <w:u w:val="single"/>
        </w:rPr>
        <w:t>太仓</w:t>
      </w:r>
      <w:proofErr w:type="gramStart"/>
      <w:r w:rsidR="00137BBC">
        <w:rPr>
          <w:rFonts w:ascii="仿宋" w:eastAsia="仿宋" w:hAnsi="仿宋" w:cs="仿宋" w:hint="eastAsia"/>
          <w:color w:val="000000" w:themeColor="text1"/>
          <w:u w:val="single"/>
        </w:rPr>
        <w:t>市健雄路</w:t>
      </w:r>
      <w:proofErr w:type="gramEnd"/>
      <w:r w:rsidR="00137BBC">
        <w:rPr>
          <w:rFonts w:ascii="仿宋" w:eastAsia="仿宋" w:hAnsi="仿宋" w:cs="仿宋" w:hint="eastAsia"/>
          <w:color w:val="000000" w:themeColor="text1"/>
          <w:u w:val="single"/>
        </w:rPr>
        <w:t>1号</w:t>
      </w:r>
    </w:p>
    <w:p w:rsidR="00F14FD2" w:rsidRPr="00F14FD2" w:rsidRDefault="00F14FD2" w:rsidP="00137BBC">
      <w:pPr>
        <w:snapToGrid w:val="0"/>
        <w:spacing w:line="360" w:lineRule="auto"/>
        <w:ind w:leftChars="200" w:left="840" w:hangingChars="200" w:hanging="420"/>
        <w:rPr>
          <w:rFonts w:ascii="仿宋" w:eastAsia="仿宋" w:hAnsi="仿宋" w:cs="仿宋"/>
          <w:color w:val="000000" w:themeColor="text1"/>
          <w:u w:val="single"/>
        </w:rPr>
      </w:pPr>
      <w:r w:rsidRPr="00F14FD2">
        <w:rPr>
          <w:rFonts w:ascii="仿宋" w:eastAsia="仿宋" w:hAnsi="仿宋" w:cs="仿宋" w:hint="eastAsia"/>
          <w:color w:val="000000" w:themeColor="text1"/>
        </w:rPr>
        <w:t>2.3招标项目（标段）建设规模：</w:t>
      </w:r>
      <w:r w:rsidR="00137BBC">
        <w:rPr>
          <w:rFonts w:ascii="仿宋" w:eastAsia="仿宋" w:hAnsi="仿宋" w:cs="仿宋" w:hint="eastAsia"/>
          <w:color w:val="000000" w:themeColor="text1"/>
          <w:u w:val="single"/>
        </w:rPr>
        <w:t>图书馆消防主机及</w:t>
      </w:r>
      <w:proofErr w:type="gramStart"/>
      <w:r w:rsidR="00F201AB">
        <w:rPr>
          <w:rFonts w:ascii="仿宋" w:eastAsia="仿宋" w:hAnsi="仿宋" w:cs="仿宋" w:hint="eastAsia"/>
          <w:color w:val="000000" w:themeColor="text1"/>
          <w:u w:val="single"/>
        </w:rPr>
        <w:t>及</w:t>
      </w:r>
      <w:proofErr w:type="gramEnd"/>
      <w:r w:rsidR="00F201AB">
        <w:rPr>
          <w:rFonts w:ascii="仿宋" w:eastAsia="仿宋" w:hAnsi="仿宋" w:cs="仿宋" w:hint="eastAsia"/>
          <w:color w:val="000000" w:themeColor="text1"/>
          <w:u w:val="single"/>
        </w:rPr>
        <w:t>所有消防设备设施包括</w:t>
      </w:r>
      <w:proofErr w:type="gramStart"/>
      <w:r w:rsidR="00137BBC">
        <w:rPr>
          <w:rFonts w:ascii="仿宋" w:eastAsia="仿宋" w:hAnsi="仿宋" w:cs="仿宋" w:hint="eastAsia"/>
          <w:color w:val="000000" w:themeColor="text1"/>
          <w:u w:val="single"/>
        </w:rPr>
        <w:t>屋顶消防</w:t>
      </w:r>
      <w:proofErr w:type="gramEnd"/>
      <w:r w:rsidR="00137BBC">
        <w:rPr>
          <w:rFonts w:ascii="仿宋" w:eastAsia="仿宋" w:hAnsi="仿宋" w:cs="仿宋" w:hint="eastAsia"/>
          <w:color w:val="000000" w:themeColor="text1"/>
          <w:u w:val="single"/>
        </w:rPr>
        <w:t>风机维修、更换</w:t>
      </w:r>
      <w:r w:rsidR="00137BBC">
        <w:rPr>
          <w:rFonts w:ascii="仿宋" w:eastAsia="仿宋" w:hAnsi="仿宋" w:cs="仿宋" w:hint="eastAsia"/>
          <w:color w:val="000000" w:themeColor="text1"/>
        </w:rPr>
        <w:t xml:space="preserve"> </w:t>
      </w:r>
    </w:p>
    <w:p w:rsidR="00F14FD2" w:rsidRPr="00F14FD2" w:rsidRDefault="00F14FD2" w:rsidP="00F14FD2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  <w:u w:val="single"/>
        </w:rPr>
      </w:pPr>
      <w:r w:rsidRPr="00F14FD2">
        <w:rPr>
          <w:rFonts w:ascii="仿宋" w:eastAsia="仿宋" w:hAnsi="仿宋" w:cs="仿宋" w:hint="eastAsia"/>
          <w:color w:val="000000" w:themeColor="text1"/>
        </w:rPr>
        <w:t>2.4计划工期：</w:t>
      </w:r>
      <w:r w:rsidRPr="00F14FD2">
        <w:rPr>
          <w:rFonts w:ascii="仿宋" w:eastAsia="仿宋" w:hAnsi="仿宋" w:cs="仿宋" w:hint="eastAsia"/>
          <w:color w:val="000000" w:themeColor="text1"/>
          <w:u w:val="single"/>
        </w:rPr>
        <w:t>30天</w:t>
      </w:r>
    </w:p>
    <w:p w:rsidR="00F14FD2" w:rsidRPr="00F14FD2" w:rsidRDefault="00F14FD2" w:rsidP="00F14FD2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  <w:u w:val="single"/>
        </w:rPr>
      </w:pPr>
      <w:r w:rsidRPr="00F14FD2">
        <w:rPr>
          <w:rFonts w:ascii="仿宋" w:eastAsia="仿宋" w:hAnsi="仿宋" w:cs="仿宋" w:hint="eastAsia"/>
          <w:color w:val="000000" w:themeColor="text1"/>
        </w:rPr>
        <w:t>2.5招标范围：</w:t>
      </w:r>
      <w:r w:rsidRPr="00F14FD2">
        <w:rPr>
          <w:rFonts w:ascii="仿宋" w:eastAsia="仿宋" w:hAnsi="仿宋" w:cs="仿宋" w:hint="eastAsia"/>
          <w:color w:val="000000" w:themeColor="text1"/>
          <w:u w:val="single"/>
        </w:rPr>
        <w:t>工程量清单范围内的所有工程</w:t>
      </w:r>
      <w:r w:rsidR="0070724E">
        <w:rPr>
          <w:rFonts w:ascii="仿宋" w:eastAsia="仿宋" w:hAnsi="仿宋" w:cs="仿宋" w:hint="eastAsia"/>
          <w:color w:val="000000" w:themeColor="text1"/>
          <w:u w:val="single"/>
        </w:rPr>
        <w:t>,详见附件一、附件二</w:t>
      </w:r>
    </w:p>
    <w:p w:rsidR="00F14FD2" w:rsidRDefault="00F14FD2" w:rsidP="00F14FD2">
      <w:pPr>
        <w:snapToGrid w:val="0"/>
        <w:spacing w:line="360" w:lineRule="auto"/>
        <w:ind w:firstLineChars="200" w:firstLine="420"/>
        <w:jc w:val="left"/>
        <w:rPr>
          <w:rFonts w:ascii="仿宋" w:eastAsia="仿宋" w:hAnsi="仿宋" w:cs="仿宋"/>
          <w:color w:val="000000" w:themeColor="text1"/>
          <w:u w:val="single"/>
        </w:rPr>
      </w:pPr>
      <w:r w:rsidRPr="00F14FD2">
        <w:rPr>
          <w:rFonts w:ascii="仿宋" w:eastAsia="仿宋" w:hAnsi="仿宋" w:cs="仿宋" w:hint="eastAsia"/>
          <w:color w:val="000000" w:themeColor="text1"/>
        </w:rPr>
        <w:t>2.6</w:t>
      </w:r>
      <w:r w:rsidR="0070724E">
        <w:rPr>
          <w:rFonts w:ascii="仿宋" w:eastAsia="仿宋" w:hAnsi="仿宋" w:cs="仿宋" w:hint="eastAsia"/>
          <w:color w:val="000000" w:themeColor="text1"/>
        </w:rPr>
        <w:t>项目质保期</w:t>
      </w:r>
      <w:r w:rsidRPr="00F14FD2">
        <w:rPr>
          <w:rFonts w:ascii="仿宋" w:eastAsia="仿宋" w:hAnsi="仿宋" w:cs="仿宋" w:hint="eastAsia"/>
          <w:color w:val="000000" w:themeColor="text1"/>
        </w:rPr>
        <w:t>：</w:t>
      </w:r>
      <w:r w:rsidR="0070724E">
        <w:rPr>
          <w:rFonts w:ascii="仿宋" w:eastAsia="仿宋" w:hAnsi="仿宋" w:cs="仿宋" w:hint="eastAsia"/>
          <w:color w:val="000000" w:themeColor="text1"/>
          <w:u w:val="single"/>
        </w:rPr>
        <w:t xml:space="preserve"> 验收后三年，任何质量问题免费维修，收到甲方通知后两小时内到场处理（人为因素除外）</w:t>
      </w:r>
    </w:p>
    <w:p w:rsidR="0070724E" w:rsidRPr="0070724E" w:rsidRDefault="0070724E" w:rsidP="00F14FD2">
      <w:pPr>
        <w:snapToGrid w:val="0"/>
        <w:spacing w:line="360" w:lineRule="auto"/>
        <w:ind w:firstLineChars="200" w:firstLine="420"/>
        <w:jc w:val="left"/>
        <w:rPr>
          <w:rFonts w:ascii="仿宋" w:eastAsia="仿宋" w:hAnsi="仿宋" w:cs="仿宋"/>
          <w:color w:val="000000" w:themeColor="text1"/>
          <w:u w:val="single"/>
        </w:rPr>
      </w:pPr>
      <w:r w:rsidRPr="0070724E">
        <w:rPr>
          <w:rFonts w:ascii="仿宋" w:eastAsia="仿宋" w:hAnsi="仿宋" w:cs="仿宋" w:hint="eastAsia"/>
          <w:color w:val="000000" w:themeColor="text1"/>
        </w:rPr>
        <w:t>2.7</w:t>
      </w:r>
      <w:r>
        <w:rPr>
          <w:rFonts w:ascii="仿宋" w:eastAsia="仿宋" w:hAnsi="仿宋" w:cs="仿宋" w:hint="eastAsia"/>
          <w:color w:val="000000" w:themeColor="text1"/>
        </w:rPr>
        <w:t>项目验收标准</w:t>
      </w:r>
      <w:r w:rsidRPr="0070724E">
        <w:rPr>
          <w:rFonts w:ascii="仿宋" w:eastAsia="仿宋" w:hAnsi="仿宋" w:cs="仿宋" w:hint="eastAsia"/>
          <w:color w:val="000000" w:themeColor="text1"/>
        </w:rPr>
        <w:t>：</w:t>
      </w:r>
      <w:r>
        <w:rPr>
          <w:rFonts w:ascii="仿宋" w:eastAsia="仿宋" w:hAnsi="仿宋" w:cs="仿宋" w:hint="eastAsia"/>
          <w:color w:val="000000" w:themeColor="text1"/>
          <w:u w:val="single"/>
        </w:rPr>
        <w:t>图书馆所有相关消防设备均恢复正常功能，联动系统都能正常联动，防火卷帘门、排烟风机手动及自动功能恢复正常，</w:t>
      </w:r>
      <w:proofErr w:type="gramStart"/>
      <w:r>
        <w:rPr>
          <w:rFonts w:ascii="仿宋" w:eastAsia="仿宋" w:hAnsi="仿宋" w:cs="仿宋" w:hint="eastAsia"/>
          <w:color w:val="000000" w:themeColor="text1"/>
          <w:u w:val="single"/>
        </w:rPr>
        <w:t>屋顶消防</w:t>
      </w:r>
      <w:proofErr w:type="gramEnd"/>
      <w:r>
        <w:rPr>
          <w:rFonts w:ascii="仿宋" w:eastAsia="仿宋" w:hAnsi="仿宋" w:cs="仿宋" w:hint="eastAsia"/>
          <w:color w:val="000000" w:themeColor="text1"/>
          <w:u w:val="single"/>
        </w:rPr>
        <w:t>风机及风管修复正常。</w:t>
      </w:r>
    </w:p>
    <w:p w:rsidR="00F14FD2" w:rsidRPr="00F14FD2" w:rsidRDefault="00F14FD2" w:rsidP="00F14FD2">
      <w:pPr>
        <w:rPr>
          <w:rFonts w:ascii="仿宋" w:eastAsia="仿宋" w:hAnsi="仿宋" w:cs="仿宋"/>
          <w:color w:val="000000" w:themeColor="text1"/>
          <w:u w:val="single"/>
        </w:rPr>
      </w:pPr>
      <w:bookmarkStart w:id="11" w:name="_Toc19838"/>
      <w:bookmarkStart w:id="12" w:name="_Toc333499400"/>
      <w:bookmarkStart w:id="13" w:name="_Toc179715685"/>
      <w:bookmarkStart w:id="14" w:name="_Toc152047193"/>
      <w:bookmarkStart w:id="15" w:name="_Toc144974396"/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3．投标人资格要求</w:t>
      </w:r>
      <w:bookmarkEnd w:id="11"/>
      <w:bookmarkEnd w:id="12"/>
      <w:bookmarkEnd w:id="13"/>
      <w:bookmarkEnd w:id="14"/>
      <w:bookmarkEnd w:id="15"/>
    </w:p>
    <w:p w:rsidR="00F14FD2" w:rsidRDefault="00F14FD2" w:rsidP="00F14FD2">
      <w:pPr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</w:rPr>
      </w:pPr>
      <w:r w:rsidRPr="00F14FD2">
        <w:rPr>
          <w:rFonts w:ascii="仿宋" w:eastAsia="仿宋" w:hAnsi="仿宋" w:cs="仿宋" w:hint="eastAsia"/>
          <w:color w:val="000000" w:themeColor="text1"/>
        </w:rPr>
        <w:t>3.1</w:t>
      </w:r>
      <w:bookmarkStart w:id="16" w:name="_Toc444711379"/>
      <w:bookmarkStart w:id="17" w:name="_Toc444706345"/>
      <w:r w:rsidRPr="00F14FD2">
        <w:rPr>
          <w:rFonts w:ascii="仿宋" w:eastAsia="仿宋" w:hAnsi="仿宋" w:cs="仿宋" w:hint="eastAsia"/>
          <w:color w:val="000000" w:themeColor="text1"/>
        </w:rPr>
        <w:t>本次招标要求投标人具备</w:t>
      </w:r>
      <w:r w:rsidR="00137BBC">
        <w:rPr>
          <w:rFonts w:ascii="仿宋" w:eastAsia="仿宋" w:hAnsi="仿宋" w:cs="仿宋" w:hint="eastAsia"/>
          <w:color w:val="000000" w:themeColor="text1"/>
          <w:u w:val="single"/>
        </w:rPr>
        <w:t>消防</w:t>
      </w:r>
      <w:r w:rsidRPr="00F14FD2">
        <w:rPr>
          <w:rFonts w:ascii="仿宋" w:eastAsia="仿宋" w:hAnsi="仿宋" w:cs="仿宋" w:hint="eastAsia"/>
          <w:color w:val="000000" w:themeColor="text1"/>
          <w:u w:val="single"/>
        </w:rPr>
        <w:t>工程施工总承包二级及以上</w:t>
      </w:r>
      <w:r w:rsidRPr="00F14FD2">
        <w:rPr>
          <w:rFonts w:ascii="仿宋" w:eastAsia="仿宋" w:hAnsi="仿宋" w:cs="仿宋" w:hint="eastAsia"/>
          <w:color w:val="000000" w:themeColor="text1"/>
        </w:rPr>
        <w:t>资质，且无外资、港澳台背景。具有有效期内的安全生产许可证；有</w:t>
      </w:r>
      <w:r w:rsidRPr="00F14FD2">
        <w:rPr>
          <w:rFonts w:ascii="仿宋" w:eastAsia="仿宋" w:hAnsi="仿宋" w:cs="仿宋" w:hint="eastAsia"/>
          <w:color w:val="000000" w:themeColor="text1"/>
          <w:u w:val="single"/>
        </w:rPr>
        <w:t>合同额不低于150万元市政管线的工程</w:t>
      </w:r>
      <w:r w:rsidRPr="00F14FD2">
        <w:rPr>
          <w:rFonts w:ascii="仿宋" w:eastAsia="仿宋" w:hAnsi="仿宋" w:cs="仿宋" w:hint="eastAsia"/>
          <w:color w:val="000000" w:themeColor="text1"/>
        </w:rPr>
        <w:t>业绩，并在人员、设备、资金等方面具备相应的施工能力</w:t>
      </w:r>
      <w:r w:rsidR="00137BBC">
        <w:rPr>
          <w:rFonts w:ascii="仿宋" w:eastAsia="仿宋" w:hAnsi="仿宋" w:cs="仿宋" w:hint="eastAsia"/>
          <w:color w:val="000000" w:themeColor="text1"/>
        </w:rPr>
        <w:t>。</w:t>
      </w:r>
    </w:p>
    <w:p w:rsidR="00137BBC" w:rsidRDefault="00137BBC" w:rsidP="00F14FD2">
      <w:pPr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3.2具有独立承担民事责任能力；</w:t>
      </w:r>
    </w:p>
    <w:p w:rsidR="00137BBC" w:rsidRDefault="00137BBC" w:rsidP="00F14FD2">
      <w:pPr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3.3具有履行合同所必须的设备和专业技术能力；</w:t>
      </w:r>
    </w:p>
    <w:p w:rsidR="00137BBC" w:rsidRPr="00F14FD2" w:rsidRDefault="00137BBC" w:rsidP="00F14FD2">
      <w:pPr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3.4具有依法缴纳税收和社会保障资金的良好记录；</w:t>
      </w:r>
    </w:p>
    <w:p w:rsidR="00F14FD2" w:rsidRPr="00F14FD2" w:rsidRDefault="00137BBC" w:rsidP="00F14FD2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3.5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</w:rPr>
        <w:t>本次招标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  <w:u w:val="single"/>
        </w:rPr>
        <w:t>不接受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</w:rPr>
        <w:t>联合体投标。</w:t>
      </w:r>
    </w:p>
    <w:p w:rsidR="00F14FD2" w:rsidRPr="00F14FD2" w:rsidRDefault="00F14FD2" w:rsidP="00F14FD2">
      <w:pPr>
        <w:snapToGrid w:val="0"/>
        <w:spacing w:line="360" w:lineRule="auto"/>
        <w:ind w:firstLineChars="200" w:firstLine="408"/>
        <w:rPr>
          <w:rFonts w:ascii="仿宋" w:eastAsia="仿宋" w:hAnsi="仿宋" w:cs="仿宋"/>
          <w:color w:val="000000" w:themeColor="text1"/>
          <w:szCs w:val="24"/>
        </w:rPr>
      </w:pPr>
      <w:r w:rsidRPr="00F14FD2">
        <w:rPr>
          <w:rFonts w:ascii="仿宋" w:eastAsia="仿宋" w:hAnsi="仿宋" w:cs="仿宋" w:hint="eastAsia"/>
          <w:color w:val="000000" w:themeColor="text1"/>
          <w:spacing w:val="-3"/>
        </w:rPr>
        <w:t>其他要求：</w:t>
      </w:r>
      <w:r w:rsidRPr="00F14FD2">
        <w:rPr>
          <w:rFonts w:ascii="仿宋" w:eastAsia="仿宋" w:hAnsi="仿宋" w:cs="仿宋" w:hint="eastAsia"/>
          <w:color w:val="000000" w:themeColor="text1"/>
          <w:spacing w:val="-3"/>
          <w:u w:val="single"/>
        </w:rPr>
        <w:t xml:space="preserve"> /</w:t>
      </w:r>
    </w:p>
    <w:p w:rsidR="00F14FD2" w:rsidRPr="00F14FD2" w:rsidRDefault="00F14FD2" w:rsidP="00F14FD2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18" w:name="_Toc31834"/>
      <w:bookmarkStart w:id="19" w:name="_Toc333499401"/>
      <w:bookmarkStart w:id="20" w:name="_Toc179715686"/>
      <w:bookmarkStart w:id="21" w:name="_Toc152047194"/>
      <w:bookmarkEnd w:id="16"/>
      <w:bookmarkEnd w:id="17"/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4．资格审查</w:t>
      </w:r>
      <w:bookmarkEnd w:id="18"/>
      <w:bookmarkEnd w:id="19"/>
      <w:bookmarkEnd w:id="20"/>
      <w:bookmarkEnd w:id="21"/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方式</w:t>
      </w:r>
    </w:p>
    <w:p w:rsidR="00F14FD2" w:rsidRPr="00F14FD2" w:rsidRDefault="00F14FD2" w:rsidP="00F14FD2">
      <w:pPr>
        <w:snapToGrid w:val="0"/>
        <w:spacing w:line="380" w:lineRule="exact"/>
        <w:ind w:firstLineChars="200" w:firstLine="420"/>
        <w:rPr>
          <w:rFonts w:ascii="仿宋" w:eastAsia="仿宋" w:hAnsi="仿宋" w:cs="仿宋"/>
          <w:color w:val="000000" w:themeColor="text1"/>
          <w:szCs w:val="32"/>
        </w:rPr>
      </w:pPr>
      <w:r w:rsidRPr="00F14FD2">
        <w:rPr>
          <w:rFonts w:ascii="仿宋" w:eastAsia="仿宋" w:hAnsi="仿宋" w:cs="仿宋" w:hint="eastAsia"/>
          <w:color w:val="000000" w:themeColor="text1"/>
          <w:szCs w:val="24"/>
        </w:rPr>
        <w:t>本次招标采用资格后审方式，</w:t>
      </w:r>
      <w:r w:rsidRPr="00F14FD2">
        <w:rPr>
          <w:rFonts w:ascii="仿宋" w:eastAsia="仿宋" w:hAnsi="仿宋" w:cs="仿宋" w:hint="eastAsia"/>
          <w:color w:val="000000" w:themeColor="text1"/>
          <w:szCs w:val="32"/>
        </w:rPr>
        <w:t>由评标委员会对投标人进行资格审查，所有通过资格审查的有效投标人均可以参加评标。</w:t>
      </w:r>
    </w:p>
    <w:p w:rsidR="00F14FD2" w:rsidRPr="00F14FD2" w:rsidRDefault="00F14FD2" w:rsidP="00F14FD2">
      <w:pPr>
        <w:rPr>
          <w:rFonts w:ascii="仿宋" w:eastAsia="仿宋" w:hAnsi="仿宋" w:cs="仿宋"/>
          <w:color w:val="000000" w:themeColor="text1"/>
          <w:szCs w:val="24"/>
        </w:rPr>
      </w:pPr>
      <w:bookmarkStart w:id="22" w:name="_Toc1825"/>
      <w:bookmarkStart w:id="23" w:name="_Toc333499402"/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5．</w:t>
      </w:r>
      <w:bookmarkStart w:id="24" w:name="_Toc23657"/>
      <w:bookmarkStart w:id="25" w:name="_Toc333499403"/>
      <w:bookmarkStart w:id="26" w:name="_Toc179715687"/>
      <w:bookmarkStart w:id="27" w:name="_Toc152047195"/>
      <w:bookmarkStart w:id="28" w:name="_Toc144974398"/>
      <w:bookmarkEnd w:id="22"/>
      <w:bookmarkEnd w:id="23"/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招标</w:t>
      </w:r>
      <w:bookmarkEnd w:id="24"/>
      <w:bookmarkEnd w:id="25"/>
      <w:bookmarkEnd w:id="26"/>
      <w:bookmarkEnd w:id="27"/>
      <w:bookmarkEnd w:id="28"/>
      <w:r w:rsidR="00137BBC">
        <w:rPr>
          <w:rFonts w:ascii="仿宋" w:eastAsia="仿宋" w:hAnsi="仿宋" w:cs="仿宋" w:hint="eastAsia"/>
          <w:color w:val="000000" w:themeColor="text1"/>
          <w:sz w:val="28"/>
          <w:szCs w:val="28"/>
        </w:rPr>
        <w:t>报名</w:t>
      </w:r>
    </w:p>
    <w:p w:rsidR="00F14FD2" w:rsidRDefault="00453892" w:rsidP="00F14FD2">
      <w:pPr>
        <w:spacing w:line="400" w:lineRule="exact"/>
        <w:ind w:firstLineChars="202" w:firstLine="424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5.1</w:t>
      </w:r>
      <w:r w:rsidR="00137BBC">
        <w:rPr>
          <w:rFonts w:ascii="仿宋" w:eastAsia="仿宋" w:hAnsi="仿宋" w:cs="仿宋" w:hint="eastAsia"/>
          <w:color w:val="000000" w:themeColor="text1"/>
          <w:szCs w:val="24"/>
        </w:rPr>
        <w:t>网络报名时间：2020年</w:t>
      </w:r>
      <w:r w:rsidR="00F201AB">
        <w:rPr>
          <w:rFonts w:ascii="仿宋" w:eastAsia="仿宋" w:hAnsi="仿宋" w:cs="仿宋" w:hint="eastAsia"/>
          <w:color w:val="000000" w:themeColor="text1"/>
          <w:szCs w:val="24"/>
        </w:rPr>
        <w:t xml:space="preserve">  </w:t>
      </w:r>
      <w:r w:rsidR="00137BBC">
        <w:rPr>
          <w:rFonts w:ascii="仿宋" w:eastAsia="仿宋" w:hAnsi="仿宋" w:cs="仿宋" w:hint="eastAsia"/>
          <w:color w:val="000000" w:themeColor="text1"/>
          <w:szCs w:val="24"/>
        </w:rPr>
        <w:t>月</w:t>
      </w:r>
      <w:r w:rsidR="00F201AB">
        <w:rPr>
          <w:rFonts w:ascii="仿宋" w:eastAsia="仿宋" w:hAnsi="仿宋" w:cs="仿宋" w:hint="eastAsia"/>
          <w:color w:val="000000" w:themeColor="text1"/>
          <w:szCs w:val="24"/>
        </w:rPr>
        <w:t xml:space="preserve"> </w:t>
      </w:r>
      <w:r w:rsidR="00137BBC">
        <w:rPr>
          <w:rFonts w:ascii="仿宋" w:eastAsia="仿宋" w:hAnsi="仿宋" w:cs="仿宋" w:hint="eastAsia"/>
          <w:color w:val="000000" w:themeColor="text1"/>
          <w:szCs w:val="24"/>
        </w:rPr>
        <w:t>日至2020年</w:t>
      </w:r>
      <w:r w:rsidR="00F201AB">
        <w:rPr>
          <w:rFonts w:ascii="仿宋" w:eastAsia="仿宋" w:hAnsi="仿宋" w:cs="仿宋" w:hint="eastAsia"/>
          <w:color w:val="000000" w:themeColor="text1"/>
          <w:szCs w:val="24"/>
        </w:rPr>
        <w:t xml:space="preserve"> </w:t>
      </w:r>
      <w:r w:rsidR="00137BBC">
        <w:rPr>
          <w:rFonts w:ascii="仿宋" w:eastAsia="仿宋" w:hAnsi="仿宋" w:cs="仿宋" w:hint="eastAsia"/>
          <w:color w:val="000000" w:themeColor="text1"/>
          <w:szCs w:val="24"/>
        </w:rPr>
        <w:t>月</w:t>
      </w:r>
      <w:r w:rsidR="00F201AB">
        <w:rPr>
          <w:rFonts w:ascii="仿宋" w:eastAsia="仿宋" w:hAnsi="仿宋" w:cs="仿宋" w:hint="eastAsia"/>
          <w:color w:val="000000" w:themeColor="text1"/>
          <w:szCs w:val="24"/>
        </w:rPr>
        <w:t xml:space="preserve"> </w:t>
      </w:r>
      <w:r w:rsidR="00137BBC">
        <w:rPr>
          <w:rFonts w:ascii="仿宋" w:eastAsia="仿宋" w:hAnsi="仿宋" w:cs="仿宋" w:hint="eastAsia"/>
          <w:color w:val="000000" w:themeColor="text1"/>
          <w:szCs w:val="24"/>
        </w:rPr>
        <w:t>日17：00止，请有意于本项目的单位将报名材料以电子邮件方式发送</w:t>
      </w:r>
      <w:proofErr w:type="gramStart"/>
      <w:r w:rsidR="00137BBC">
        <w:rPr>
          <w:rFonts w:ascii="仿宋" w:eastAsia="仿宋" w:hAnsi="仿宋" w:cs="仿宋" w:hint="eastAsia"/>
          <w:color w:val="000000" w:themeColor="text1"/>
          <w:szCs w:val="24"/>
        </w:rPr>
        <w:t>至以下</w:t>
      </w:r>
      <w:proofErr w:type="gramEnd"/>
      <w:r w:rsidR="00137BBC">
        <w:rPr>
          <w:rFonts w:ascii="仿宋" w:eastAsia="仿宋" w:hAnsi="仿宋" w:cs="仿宋" w:hint="eastAsia"/>
          <w:color w:val="000000" w:themeColor="text1"/>
          <w:szCs w:val="24"/>
        </w:rPr>
        <w:t>邮箱进行报名：</w:t>
      </w:r>
      <w:hyperlink r:id="rId7" w:history="1"/>
      <w:r w:rsidR="00F201AB">
        <w:rPr>
          <w:rStyle w:val="a5"/>
          <w:rFonts w:ascii="仿宋" w:eastAsia="仿宋" w:hAnsi="仿宋" w:cs="仿宋" w:hint="eastAsia"/>
          <w:szCs w:val="24"/>
        </w:rPr>
        <w:t xml:space="preserve">        </w:t>
      </w:r>
      <w:r>
        <w:rPr>
          <w:rFonts w:ascii="仿宋" w:eastAsia="仿宋" w:hAnsi="仿宋" w:cs="仿宋" w:hint="eastAsia"/>
          <w:color w:val="000000" w:themeColor="text1"/>
          <w:szCs w:val="24"/>
        </w:rPr>
        <w:t>,邮件中必需包含单位全</w:t>
      </w:r>
      <w:r>
        <w:rPr>
          <w:rFonts w:ascii="仿宋" w:eastAsia="仿宋" w:hAnsi="仿宋" w:cs="仿宋" w:hint="eastAsia"/>
          <w:color w:val="000000" w:themeColor="text1"/>
          <w:szCs w:val="24"/>
        </w:rPr>
        <w:lastRenderedPageBreak/>
        <w:t>称、单位地址、联系人、随身电话、办公电话、营业执照扫描件等，邮件主题格式：健雄学院图书馆消防改造采购项目-****单位。</w:t>
      </w:r>
    </w:p>
    <w:p w:rsidR="00453892" w:rsidRDefault="00453892" w:rsidP="00F14FD2">
      <w:pPr>
        <w:spacing w:line="400" w:lineRule="exact"/>
        <w:ind w:firstLineChars="202" w:firstLine="424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5.2投标书接收时间</w:t>
      </w:r>
    </w:p>
    <w:p w:rsidR="00453892" w:rsidRDefault="00453892" w:rsidP="00F14FD2">
      <w:pPr>
        <w:spacing w:line="400" w:lineRule="exact"/>
        <w:ind w:firstLineChars="202" w:firstLine="424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 xml:space="preserve"> 2020年</w:t>
      </w:r>
      <w:r w:rsidR="00F201AB">
        <w:rPr>
          <w:rFonts w:ascii="仿宋" w:eastAsia="仿宋" w:hAnsi="仿宋" w:cs="仿宋" w:hint="eastAsia"/>
          <w:color w:val="000000" w:themeColor="text1"/>
          <w:szCs w:val="24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4"/>
        </w:rPr>
        <w:t>月</w:t>
      </w:r>
      <w:r w:rsidR="00F201AB">
        <w:rPr>
          <w:rFonts w:ascii="仿宋" w:eastAsia="仿宋" w:hAnsi="仿宋" w:cs="仿宋" w:hint="eastAsia"/>
          <w:color w:val="000000" w:themeColor="text1"/>
          <w:szCs w:val="24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szCs w:val="24"/>
        </w:rPr>
        <w:t>日上午</w:t>
      </w:r>
    </w:p>
    <w:p w:rsidR="00453892" w:rsidRDefault="00453892" w:rsidP="00453892">
      <w:pPr>
        <w:spacing w:line="400" w:lineRule="exact"/>
        <w:ind w:firstLineChars="200" w:firstLine="42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5.3投标书接收地点</w:t>
      </w:r>
    </w:p>
    <w:p w:rsidR="00F14FD2" w:rsidRPr="00F14FD2" w:rsidRDefault="00453892" w:rsidP="00453892">
      <w:pPr>
        <w:spacing w:line="400" w:lineRule="exact"/>
        <w:ind w:firstLineChars="200" w:firstLine="420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</w:rPr>
        <w:t>苏州健雄职业技术学院</w:t>
      </w:r>
      <w:r w:rsidR="00F201AB">
        <w:rPr>
          <w:rFonts w:ascii="仿宋" w:eastAsia="仿宋" w:hAnsi="仿宋" w:cs="仿宋" w:hint="eastAsia"/>
          <w:color w:val="000000" w:themeColor="text1"/>
        </w:rPr>
        <w:t>财务</w:t>
      </w:r>
      <w:r>
        <w:rPr>
          <w:rFonts w:ascii="仿宋" w:eastAsia="仿宋" w:hAnsi="仿宋" w:cs="仿宋" w:hint="eastAsia"/>
          <w:color w:val="000000" w:themeColor="text1"/>
        </w:rPr>
        <w:t>处</w:t>
      </w:r>
      <w:r w:rsidR="00F14FD2" w:rsidRPr="00F14FD2">
        <w:rPr>
          <w:rFonts w:ascii="仿宋" w:eastAsia="仿宋" w:hAnsi="仿宋" w:cs="仿宋" w:hint="eastAsia"/>
          <w:color w:val="000000" w:themeColor="text1"/>
        </w:rPr>
        <w:t>。</w:t>
      </w:r>
    </w:p>
    <w:p w:rsidR="00F14FD2" w:rsidRPr="00F14FD2" w:rsidRDefault="00F14FD2" w:rsidP="00F14FD2">
      <w:pPr>
        <w:rPr>
          <w:rFonts w:ascii="仿宋" w:eastAsia="仿宋" w:hAnsi="仿宋" w:cs="仿宋"/>
          <w:color w:val="000000" w:themeColor="text1"/>
          <w:sz w:val="28"/>
          <w:szCs w:val="28"/>
        </w:rPr>
      </w:pPr>
      <w:bookmarkStart w:id="29" w:name="_Toc2214"/>
      <w:bookmarkStart w:id="30" w:name="_Toc333499404"/>
      <w:bookmarkStart w:id="31" w:name="_Toc179715688"/>
      <w:bookmarkStart w:id="32" w:name="_Toc152047196"/>
      <w:bookmarkStart w:id="33" w:name="_Toc144974400"/>
      <w:r w:rsidRPr="00F14FD2">
        <w:rPr>
          <w:rFonts w:ascii="仿宋" w:eastAsia="仿宋" w:hAnsi="仿宋" w:cs="仿宋" w:hint="eastAsia"/>
          <w:color w:val="000000" w:themeColor="text1"/>
          <w:sz w:val="28"/>
          <w:szCs w:val="28"/>
        </w:rPr>
        <w:t>6．</w:t>
      </w:r>
      <w:bookmarkEnd w:id="29"/>
      <w:bookmarkEnd w:id="30"/>
      <w:bookmarkEnd w:id="31"/>
      <w:bookmarkEnd w:id="32"/>
      <w:bookmarkEnd w:id="33"/>
      <w:r w:rsidR="00453892">
        <w:rPr>
          <w:rFonts w:ascii="仿宋" w:eastAsia="仿宋" w:hAnsi="仿宋" w:cs="仿宋" w:hint="eastAsia"/>
          <w:color w:val="000000" w:themeColor="text1"/>
          <w:sz w:val="28"/>
          <w:szCs w:val="28"/>
        </w:rPr>
        <w:t>标书所需资格证明资料</w:t>
      </w:r>
    </w:p>
    <w:p w:rsidR="00F14FD2" w:rsidRDefault="00453892" w:rsidP="00453892">
      <w:pPr>
        <w:spacing w:line="400" w:lineRule="exact"/>
        <w:ind w:firstLineChars="200" w:firstLine="42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一、企业营业执照副本复印件；</w:t>
      </w:r>
    </w:p>
    <w:p w:rsidR="00C87E86" w:rsidRPr="00F14FD2" w:rsidRDefault="00453892" w:rsidP="00C87E86">
      <w:pPr>
        <w:spacing w:line="400" w:lineRule="exact"/>
        <w:ind w:firstLineChars="200" w:firstLine="420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</w:rPr>
        <w:t>二、授权委托书（如有），法人及代理人身份证复印件</w:t>
      </w:r>
      <w:r w:rsidR="00C87E86">
        <w:rPr>
          <w:rFonts w:ascii="仿宋" w:eastAsia="仿宋" w:hAnsi="仿宋" w:cs="仿宋" w:hint="eastAsia"/>
          <w:color w:val="000000" w:themeColor="text1"/>
          <w:szCs w:val="24"/>
        </w:rPr>
        <w:t>；</w:t>
      </w:r>
    </w:p>
    <w:p w:rsidR="00F14FD2" w:rsidRPr="00C87E86" w:rsidRDefault="00F14FD2" w:rsidP="00F14FD2">
      <w:pPr>
        <w:rPr>
          <w:rFonts w:ascii="仿宋" w:eastAsia="仿宋" w:hAnsi="仿宋" w:cs="仿宋"/>
          <w:color w:val="000000" w:themeColor="text1"/>
        </w:rPr>
      </w:pPr>
      <w:bookmarkStart w:id="34" w:name="_Toc6371"/>
      <w:bookmarkStart w:id="35" w:name="_Toc333499405"/>
      <w:bookmarkStart w:id="36" w:name="_Toc179715689"/>
      <w:bookmarkStart w:id="37" w:name="_Toc152047197"/>
      <w:bookmarkStart w:id="38" w:name="_Toc144974401"/>
      <w:r w:rsidRPr="00C87E86">
        <w:rPr>
          <w:rFonts w:ascii="仿宋" w:eastAsia="仿宋" w:hAnsi="仿宋" w:cs="仿宋" w:hint="eastAsia"/>
          <w:color w:val="000000" w:themeColor="text1"/>
        </w:rPr>
        <w:t>7．</w:t>
      </w:r>
      <w:bookmarkEnd w:id="34"/>
      <w:bookmarkEnd w:id="35"/>
      <w:bookmarkEnd w:id="36"/>
      <w:r w:rsidR="00C87E86" w:rsidRPr="00C87E86">
        <w:rPr>
          <w:rFonts w:ascii="仿宋" w:eastAsia="仿宋" w:hAnsi="仿宋" w:cs="仿宋" w:hint="eastAsia"/>
          <w:color w:val="000000" w:themeColor="text1"/>
          <w:sz w:val="28"/>
          <w:szCs w:val="28"/>
        </w:rPr>
        <w:t>开标时间</w:t>
      </w:r>
      <w:r w:rsidR="00C87E86" w:rsidRPr="00C87E86">
        <w:rPr>
          <w:rFonts w:ascii="仿宋" w:eastAsia="仿宋" w:hAnsi="仿宋" w:cs="仿宋" w:hint="eastAsia"/>
          <w:color w:val="000000" w:themeColor="text1"/>
        </w:rPr>
        <w:t>：</w:t>
      </w:r>
    </w:p>
    <w:p w:rsidR="00F14FD2" w:rsidRPr="00C87E86" w:rsidRDefault="00C87E86" w:rsidP="00C87E86">
      <w:pPr>
        <w:rPr>
          <w:rFonts w:ascii="仿宋" w:eastAsia="仿宋" w:hAnsi="仿宋" w:cs="仿宋"/>
          <w:color w:val="000000" w:themeColor="text1"/>
        </w:rPr>
      </w:pPr>
      <w:r w:rsidRPr="00C87E86">
        <w:rPr>
          <w:rFonts w:ascii="仿宋" w:eastAsia="仿宋" w:hAnsi="仿宋" w:cs="仿宋" w:hint="eastAsia"/>
          <w:color w:val="000000" w:themeColor="text1"/>
        </w:rPr>
        <w:t xml:space="preserve">     </w:t>
      </w:r>
      <w:r w:rsidRPr="00C87E86">
        <w:rPr>
          <w:rFonts w:ascii="仿宋" w:eastAsia="仿宋" w:hAnsi="仿宋" w:cs="仿宋" w:hint="eastAsia"/>
          <w:color w:val="000000" w:themeColor="text1"/>
          <w:u w:val="single"/>
        </w:rPr>
        <w:t xml:space="preserve">   </w:t>
      </w:r>
      <w:r w:rsidRPr="00C87E86">
        <w:rPr>
          <w:rFonts w:ascii="仿宋" w:eastAsia="仿宋" w:hAnsi="仿宋" w:cs="仿宋" w:hint="eastAsia"/>
          <w:color w:val="000000" w:themeColor="text1"/>
        </w:rPr>
        <w:t>年</w:t>
      </w:r>
      <w:r w:rsidRPr="00C87E86">
        <w:rPr>
          <w:rFonts w:ascii="仿宋" w:eastAsia="仿宋" w:hAnsi="仿宋" w:cs="仿宋" w:hint="eastAsia"/>
          <w:color w:val="000000" w:themeColor="text1"/>
          <w:u w:val="single"/>
        </w:rPr>
        <w:t xml:space="preserve">  </w:t>
      </w:r>
      <w:r w:rsidRPr="00C87E86">
        <w:rPr>
          <w:rFonts w:ascii="仿宋" w:eastAsia="仿宋" w:hAnsi="仿宋" w:cs="仿宋" w:hint="eastAsia"/>
          <w:color w:val="000000" w:themeColor="text1"/>
        </w:rPr>
        <w:t>月</w:t>
      </w:r>
      <w:r w:rsidRPr="00C87E86">
        <w:rPr>
          <w:rFonts w:ascii="仿宋" w:eastAsia="仿宋" w:hAnsi="仿宋" w:cs="仿宋" w:hint="eastAsia"/>
          <w:color w:val="000000" w:themeColor="text1"/>
          <w:u w:val="single"/>
        </w:rPr>
        <w:t xml:space="preserve">   </w:t>
      </w:r>
      <w:r w:rsidRPr="00C87E86">
        <w:rPr>
          <w:rFonts w:ascii="仿宋" w:eastAsia="仿宋" w:hAnsi="仿宋" w:cs="仿宋" w:hint="eastAsia"/>
          <w:color w:val="000000" w:themeColor="text1"/>
        </w:rPr>
        <w:t>日</w:t>
      </w:r>
    </w:p>
    <w:p w:rsidR="00F14FD2" w:rsidRPr="00C87E86" w:rsidRDefault="00F14FD2" w:rsidP="00C87E86">
      <w:pPr>
        <w:rPr>
          <w:rFonts w:ascii="仿宋" w:eastAsia="仿宋" w:hAnsi="仿宋" w:cs="仿宋"/>
          <w:color w:val="000000" w:themeColor="text1"/>
        </w:rPr>
      </w:pPr>
      <w:bookmarkStart w:id="39" w:name="_Toc7621"/>
      <w:bookmarkStart w:id="40" w:name="_Toc333499406"/>
      <w:bookmarkStart w:id="41" w:name="_Toc179715690"/>
      <w:r w:rsidRPr="00C87E86">
        <w:rPr>
          <w:rFonts w:ascii="仿宋" w:eastAsia="仿宋" w:hAnsi="仿宋" w:cs="仿宋" w:hint="eastAsia"/>
          <w:color w:val="000000" w:themeColor="text1"/>
        </w:rPr>
        <w:t>8．</w:t>
      </w:r>
      <w:bookmarkEnd w:id="37"/>
      <w:bookmarkEnd w:id="38"/>
      <w:bookmarkEnd w:id="39"/>
      <w:bookmarkEnd w:id="40"/>
      <w:bookmarkEnd w:id="41"/>
      <w:r w:rsidR="00C87E86" w:rsidRPr="00C87E86">
        <w:rPr>
          <w:rFonts w:ascii="仿宋" w:eastAsia="仿宋" w:hAnsi="仿宋" w:cs="仿宋" w:hint="eastAsia"/>
          <w:color w:val="000000" w:themeColor="text1"/>
          <w:sz w:val="28"/>
          <w:szCs w:val="28"/>
        </w:rPr>
        <w:t>开标地点</w:t>
      </w:r>
      <w:r w:rsidR="00C87E86" w:rsidRPr="00C87E86">
        <w:rPr>
          <w:rFonts w:ascii="仿宋" w:eastAsia="仿宋" w:hAnsi="仿宋" w:cs="仿宋" w:hint="eastAsia"/>
          <w:color w:val="000000" w:themeColor="text1"/>
        </w:rPr>
        <w:t>：</w:t>
      </w:r>
    </w:p>
    <w:p w:rsidR="00C87E86" w:rsidRPr="00C87E86" w:rsidRDefault="00C87E86" w:rsidP="00C87E86">
      <w:pPr>
        <w:rPr>
          <w:rFonts w:ascii="仿宋" w:eastAsia="仿宋" w:hAnsi="仿宋" w:cs="仿宋"/>
          <w:color w:val="000000" w:themeColor="text1"/>
        </w:rPr>
      </w:pPr>
      <w:r w:rsidRPr="00C87E86">
        <w:rPr>
          <w:rFonts w:ascii="仿宋" w:eastAsia="仿宋" w:hAnsi="仿宋" w:cs="仿宋" w:hint="eastAsia"/>
          <w:color w:val="000000" w:themeColor="text1"/>
        </w:rPr>
        <w:t xml:space="preserve"> 苏州健雄职业技术学院</w:t>
      </w:r>
    </w:p>
    <w:p w:rsidR="00F14FD2" w:rsidRPr="00F14FD2" w:rsidRDefault="00F14FD2" w:rsidP="00F14FD2">
      <w:pPr>
        <w:spacing w:line="400" w:lineRule="exact"/>
        <w:rPr>
          <w:rFonts w:ascii="仿宋" w:eastAsia="仿宋" w:hAnsi="仿宋" w:cs="仿宋"/>
          <w:color w:val="000000" w:themeColor="text1"/>
          <w:szCs w:val="24"/>
        </w:rPr>
      </w:pPr>
    </w:p>
    <w:p w:rsidR="00F14FD2" w:rsidRPr="00F14FD2" w:rsidRDefault="00F14FD2" w:rsidP="00F14FD2">
      <w:pPr>
        <w:spacing w:line="400" w:lineRule="exact"/>
        <w:rPr>
          <w:rFonts w:ascii="仿宋" w:eastAsia="仿宋" w:hAnsi="仿宋" w:cs="仿宋"/>
          <w:color w:val="000000" w:themeColor="text1"/>
          <w:szCs w:val="24"/>
        </w:rPr>
      </w:pPr>
    </w:p>
    <w:p w:rsidR="00F14FD2" w:rsidRPr="00F14FD2" w:rsidRDefault="0070724E" w:rsidP="00F14FD2">
      <w:pPr>
        <w:spacing w:line="400" w:lineRule="exact"/>
        <w:ind w:leftChars="2228" w:left="4679" w:firstLineChars="450" w:firstLine="945"/>
        <w:rPr>
          <w:rFonts w:ascii="仿宋" w:eastAsia="仿宋" w:hAnsi="仿宋" w:cs="仿宋"/>
          <w:color w:val="000000" w:themeColor="text1"/>
          <w:szCs w:val="24"/>
        </w:rPr>
      </w:pPr>
      <w:r>
        <w:rPr>
          <w:rFonts w:ascii="仿宋" w:eastAsia="仿宋" w:hAnsi="仿宋" w:cs="仿宋" w:hint="eastAsia"/>
          <w:color w:val="000000" w:themeColor="text1"/>
          <w:szCs w:val="24"/>
          <w:u w:val="single"/>
        </w:rPr>
        <w:t xml:space="preserve">  2020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  <w:u w:val="single"/>
        </w:rPr>
        <w:t xml:space="preserve">  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</w:rPr>
        <w:t>年</w:t>
      </w:r>
      <w:r>
        <w:rPr>
          <w:rFonts w:ascii="仿宋" w:eastAsia="仿宋" w:hAnsi="仿宋" w:cs="仿宋" w:hint="eastAsia"/>
          <w:color w:val="000000" w:themeColor="text1"/>
          <w:szCs w:val="24"/>
          <w:u w:val="single"/>
        </w:rPr>
        <w:t xml:space="preserve">  06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  <w:u w:val="single"/>
        </w:rPr>
        <w:t xml:space="preserve">  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</w:rPr>
        <w:t>月</w:t>
      </w:r>
      <w:r w:rsidR="00F14FD2" w:rsidRPr="00F14FD2">
        <w:rPr>
          <w:rFonts w:ascii="仿宋" w:eastAsia="仿宋" w:hAnsi="仿宋" w:cs="仿宋"/>
          <w:color w:val="000000" w:themeColor="text1"/>
          <w:szCs w:val="24"/>
          <w:u w:val="single"/>
        </w:rPr>
        <w:t>2</w:t>
      </w:r>
      <w:r>
        <w:rPr>
          <w:rFonts w:ascii="仿宋" w:eastAsia="仿宋" w:hAnsi="仿宋" w:cs="仿宋" w:hint="eastAsia"/>
          <w:color w:val="000000" w:themeColor="text1"/>
          <w:szCs w:val="24"/>
          <w:u w:val="single"/>
        </w:rPr>
        <w:t>3</w:t>
      </w:r>
      <w:r w:rsidR="00F14FD2" w:rsidRPr="00F14FD2">
        <w:rPr>
          <w:rFonts w:ascii="仿宋" w:eastAsia="仿宋" w:hAnsi="仿宋" w:cs="仿宋" w:hint="eastAsia"/>
          <w:color w:val="000000" w:themeColor="text1"/>
          <w:szCs w:val="24"/>
        </w:rPr>
        <w:t>日</w:t>
      </w:r>
    </w:p>
    <w:p w:rsidR="002B1D29" w:rsidRPr="00F14FD2" w:rsidRDefault="00F14FD2" w:rsidP="00F14FD2">
      <w:pPr>
        <w:rPr>
          <w:rFonts w:ascii="仿宋_GB2312" w:eastAsia="仿宋_GB2312" w:hAnsi="华文中宋"/>
          <w:color w:val="000000" w:themeColor="text1"/>
          <w:sz w:val="32"/>
        </w:rPr>
      </w:pPr>
      <w:r w:rsidRPr="00F14FD2">
        <w:rPr>
          <w:rFonts w:ascii="仿宋" w:eastAsia="仿宋" w:hAnsi="仿宋" w:cs="仿宋" w:hint="eastAsia"/>
          <w:bCs/>
          <w:color w:val="000000" w:themeColor="text1"/>
          <w:sz w:val="36"/>
          <w:szCs w:val="36"/>
        </w:rPr>
        <w:br w:type="page"/>
      </w:r>
    </w:p>
    <w:tbl>
      <w:tblPr>
        <w:tblW w:w="9759" w:type="dxa"/>
        <w:tblInd w:w="100" w:type="dxa"/>
        <w:tblLook w:val="04A0" w:firstRow="1" w:lastRow="0" w:firstColumn="1" w:lastColumn="0" w:noHBand="0" w:noVBand="1"/>
      </w:tblPr>
      <w:tblGrid>
        <w:gridCol w:w="791"/>
        <w:gridCol w:w="3268"/>
        <w:gridCol w:w="791"/>
        <w:gridCol w:w="791"/>
        <w:gridCol w:w="604"/>
        <w:gridCol w:w="456"/>
        <w:gridCol w:w="678"/>
        <w:gridCol w:w="382"/>
        <w:gridCol w:w="1998"/>
      </w:tblGrid>
      <w:tr w:rsidR="002B1D29" w:rsidRPr="002B1D29" w:rsidTr="002B1D29">
        <w:trPr>
          <w:trHeight w:val="499"/>
        </w:trPr>
        <w:tc>
          <w:tcPr>
            <w:tcW w:w="9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附件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 w:rsidRPr="002B1D29">
              <w:rPr>
                <w:rFonts w:ascii="宋体" w:hAnsi="宋体" w:cs="宋体" w:hint="eastAsia"/>
                <w:b/>
                <w:bCs/>
                <w:kern w:val="0"/>
              </w:rPr>
              <w:t>：</w:t>
            </w:r>
          </w:p>
          <w:p w:rsidR="002B1D29" w:rsidRPr="002B1D29" w:rsidRDefault="002B1D29" w:rsidP="002B1D29">
            <w:pPr>
              <w:widowControl/>
              <w:ind w:firstLineChars="1663" w:firstLine="3506"/>
              <w:rPr>
                <w:rFonts w:ascii="宋体" w:hAnsi="宋体" w:cs="宋体"/>
                <w:b/>
                <w:bCs/>
                <w:kern w:val="0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</w:rPr>
              <w:t>苏州健雄职业技术学院</w:t>
            </w:r>
          </w:p>
        </w:tc>
      </w:tr>
      <w:tr w:rsidR="002B1D29" w:rsidRPr="002B1D29" w:rsidTr="002B1D29">
        <w:trPr>
          <w:trHeight w:val="6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2B1D29" w:rsidRPr="002B1D29" w:rsidTr="002B1D29">
        <w:trPr>
          <w:trHeight w:val="439"/>
        </w:trPr>
        <w:tc>
          <w:tcPr>
            <w:tcW w:w="9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</w:rPr>
              <w:t>图书馆消防主机更换清单</w:t>
            </w:r>
          </w:p>
        </w:tc>
      </w:tr>
      <w:tr w:rsidR="002B1D29" w:rsidRPr="002B1D29" w:rsidTr="005A1254">
        <w:trPr>
          <w:trHeight w:val="102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2B1D29" w:rsidRPr="002B1D29" w:rsidTr="005A1254">
        <w:trPr>
          <w:trHeight w:val="18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2B1D29" w:rsidRPr="002B1D29" w:rsidTr="005A1254">
        <w:trPr>
          <w:trHeight w:val="19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器材名称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数量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金额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备注</w:t>
            </w:r>
          </w:p>
        </w:tc>
      </w:tr>
      <w:tr w:rsidR="002B1D29" w:rsidRPr="002B1D29" w:rsidTr="005A1254">
        <w:trPr>
          <w:trHeight w:val="120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火灾自动报警主机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含主机、消防电话、消防广播功放、电池、多线联动板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CRT图形显示器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CRT软件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烟感探测器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340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火灾</w:t>
            </w:r>
            <w:proofErr w:type="gramStart"/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显示盘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手动报警按钮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28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消火栓按钮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44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温感探测器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输出模块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65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输入模块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多线模块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接点模块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消防广播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只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2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拆装人工费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编程费及调试费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税金9%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2B1D29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2B1D29" w:rsidTr="005A1254">
        <w:trPr>
          <w:trHeight w:val="40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2B1D29" w:rsidRPr="002B1D29" w:rsidTr="002B1D29">
        <w:trPr>
          <w:trHeight w:val="42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2B1D29" w:rsidRPr="002B1D29" w:rsidTr="002B1D29">
        <w:trPr>
          <w:trHeight w:val="27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2B1D29" w:rsidRPr="002B1D29" w:rsidTr="002B1D29">
        <w:trPr>
          <w:trHeight w:val="40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2B1D29" w:rsidRPr="002B1D29" w:rsidTr="002B1D29">
        <w:trPr>
          <w:trHeight w:val="21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2B1D29" w:rsidRPr="002B1D29" w:rsidTr="002B1D29">
        <w:trPr>
          <w:trHeight w:val="40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2B1D29" w:rsidRDefault="002B1D29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5A1254" w:rsidRDefault="005A1254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  <w:p w:rsidR="005A1254" w:rsidRPr="002B1D29" w:rsidRDefault="005A1254" w:rsidP="002B1D2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2B1D29" w:rsidRDefault="002B1D29" w:rsidP="002B1D29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</w:tbl>
    <w:p w:rsidR="005A1254" w:rsidRPr="005A1254" w:rsidRDefault="005A1254" w:rsidP="005A1254">
      <w:pPr>
        <w:rPr>
          <w:rFonts w:ascii="仿宋_GB2312" w:eastAsia="仿宋_GB2312" w:hAnsi="华文中宋"/>
          <w:b/>
          <w:color w:val="000000" w:themeColor="text1"/>
        </w:rPr>
      </w:pPr>
      <w:r w:rsidRPr="005A1254">
        <w:rPr>
          <w:rFonts w:ascii="仿宋_GB2312" w:eastAsia="仿宋_GB2312" w:hAnsi="华文中宋" w:hint="eastAsia"/>
          <w:b/>
          <w:color w:val="000000" w:themeColor="text1"/>
        </w:rPr>
        <w:lastRenderedPageBreak/>
        <w:t>附件2</w:t>
      </w:r>
    </w:p>
    <w:p w:rsidR="005A1254" w:rsidRDefault="005A1254" w:rsidP="005A1254">
      <w:pPr>
        <w:jc w:val="center"/>
        <w:rPr>
          <w:rFonts w:ascii="宋体" w:hAnsi="宋体" w:cs="宋体"/>
          <w:b/>
          <w:bCs/>
          <w:kern w:val="0"/>
        </w:rPr>
      </w:pPr>
      <w:r w:rsidRPr="002B1D29">
        <w:rPr>
          <w:rFonts w:ascii="宋体" w:hAnsi="宋体" w:cs="宋体" w:hint="eastAsia"/>
          <w:b/>
          <w:bCs/>
          <w:kern w:val="0"/>
        </w:rPr>
        <w:t>苏州健雄职业技术学院</w:t>
      </w:r>
    </w:p>
    <w:p w:rsidR="005A1254" w:rsidRDefault="005A1254" w:rsidP="005A1254">
      <w:pPr>
        <w:jc w:val="center"/>
        <w:rPr>
          <w:rFonts w:ascii="仿宋_GB2312" w:eastAsia="仿宋_GB2312" w:hAnsi="华文中宋"/>
          <w:b/>
          <w:color w:val="000000" w:themeColor="text1"/>
        </w:rPr>
      </w:pPr>
      <w:r>
        <w:rPr>
          <w:rFonts w:ascii="宋体" w:hAnsi="宋体" w:cs="宋体" w:hint="eastAsia"/>
          <w:b/>
          <w:bCs/>
          <w:kern w:val="0"/>
        </w:rPr>
        <w:t>图书馆排烟风机</w:t>
      </w:r>
      <w:r w:rsidRPr="002B1D29">
        <w:rPr>
          <w:rFonts w:ascii="宋体" w:hAnsi="宋体" w:cs="宋体" w:hint="eastAsia"/>
          <w:b/>
          <w:bCs/>
          <w:kern w:val="0"/>
        </w:rPr>
        <w:t>更换清单</w:t>
      </w:r>
    </w:p>
    <w:tbl>
      <w:tblPr>
        <w:tblW w:w="10387" w:type="dxa"/>
        <w:tblInd w:w="103" w:type="dxa"/>
        <w:tblLook w:val="04A0" w:firstRow="1" w:lastRow="0" w:firstColumn="1" w:lastColumn="0" w:noHBand="0" w:noVBand="1"/>
      </w:tblPr>
      <w:tblGrid>
        <w:gridCol w:w="1005"/>
        <w:gridCol w:w="2076"/>
        <w:gridCol w:w="2055"/>
        <w:gridCol w:w="1001"/>
        <w:gridCol w:w="910"/>
        <w:gridCol w:w="755"/>
        <w:gridCol w:w="708"/>
        <w:gridCol w:w="1877"/>
      </w:tblGrid>
      <w:tr w:rsidR="002B1D29" w:rsidRPr="005A1254" w:rsidTr="005A1254">
        <w:trPr>
          <w:trHeight w:val="25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设备名称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数量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单位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单价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总价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备注</w:t>
            </w:r>
          </w:p>
        </w:tc>
      </w:tr>
      <w:tr w:rsidR="002B1D29" w:rsidRPr="005A1254" w:rsidTr="005A1254">
        <w:trPr>
          <w:trHeight w:val="35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箱式风机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3KW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274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箱式风机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4KW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378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箱式风机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7.5KW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411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箱式风机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11KW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275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风机软接头/风管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***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379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风机拆装人工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***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271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吊车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***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次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375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风机柜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3KW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267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风机柜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4KW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371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风机柜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7.5KW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  <w:tr w:rsidR="002B1D29" w:rsidRPr="005A1254" w:rsidTr="005A1254">
        <w:trPr>
          <w:trHeight w:val="276"/>
        </w:trPr>
        <w:tc>
          <w:tcPr>
            <w:tcW w:w="100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新宋体" w:eastAsia="新宋体" w:hAnsi="新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新宋体" w:eastAsia="新宋体" w:hAnsi="新宋体" w:cs="宋体" w:hint="eastAsia"/>
                <w:b/>
                <w:kern w:val="0"/>
                <w:sz w:val="15"/>
                <w:szCs w:val="15"/>
              </w:rPr>
              <w:t>风机柜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11KW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b/>
                <w:kern w:val="0"/>
                <w:sz w:val="15"/>
                <w:szCs w:val="15"/>
              </w:rPr>
            </w:pPr>
            <w:r w:rsidRPr="005A1254">
              <w:rPr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>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rPr>
                <w:b/>
                <w:kern w:val="0"/>
                <w:sz w:val="15"/>
                <w:szCs w:val="15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B1D29" w:rsidRPr="005A1254" w:rsidRDefault="002B1D29" w:rsidP="002B1D29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5"/>
              </w:rPr>
            </w:pPr>
            <w:r w:rsidRPr="005A1254">
              <w:rPr>
                <w:rFonts w:ascii="宋体" w:hAnsi="宋体" w:cs="宋体" w:hint="eastAsia"/>
                <w:b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F14FD2" w:rsidRPr="005A1254" w:rsidRDefault="00F14FD2" w:rsidP="002B1D29">
      <w:pPr>
        <w:spacing w:line="360" w:lineRule="auto"/>
        <w:jc w:val="center"/>
        <w:rPr>
          <w:rFonts w:ascii="宋体" w:hAnsi="宋体"/>
          <w:b/>
          <w:color w:val="000000" w:themeColor="text1"/>
          <w:sz w:val="15"/>
          <w:szCs w:val="15"/>
        </w:rPr>
      </w:pPr>
    </w:p>
    <w:p w:rsidR="005E2F7D" w:rsidRPr="00F14FD2" w:rsidRDefault="005E2F7D">
      <w:pPr>
        <w:rPr>
          <w:color w:val="000000" w:themeColor="text1"/>
        </w:rPr>
      </w:pPr>
    </w:p>
    <w:sectPr w:rsidR="005E2F7D" w:rsidRPr="00F14FD2" w:rsidSect="00230EE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DB" w:rsidRDefault="00B111DB" w:rsidP="00F14FD2">
      <w:r>
        <w:separator/>
      </w:r>
    </w:p>
  </w:endnote>
  <w:endnote w:type="continuationSeparator" w:id="0">
    <w:p w:rsidR="00B111DB" w:rsidRDefault="00B111DB" w:rsidP="00F1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D2" w:rsidRPr="00F14FD2" w:rsidRDefault="00A24250" w:rsidP="00F14FD2">
    <w:pPr>
      <w:pStyle w:val="a4"/>
      <w:jc w:val="center"/>
    </w:pPr>
    <w:r>
      <w:fldChar w:fldCharType="begin"/>
    </w:r>
    <w:r w:rsidR="00F14FD2">
      <w:instrText xml:space="preserve"> PAGE Page \* MERGEFORMAT </w:instrText>
    </w:r>
    <w:r>
      <w:fldChar w:fldCharType="separate"/>
    </w:r>
    <w:r w:rsidR="00F82B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DB" w:rsidRDefault="00B111DB" w:rsidP="00F14FD2">
      <w:r>
        <w:separator/>
      </w:r>
    </w:p>
  </w:footnote>
  <w:footnote w:type="continuationSeparator" w:id="0">
    <w:p w:rsidR="00B111DB" w:rsidRDefault="00B111DB" w:rsidP="00F1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D2" w:rsidRDefault="00F14FD2" w:rsidP="00F14FD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15"/>
    <w:rsid w:val="00137BBC"/>
    <w:rsid w:val="00230EE3"/>
    <w:rsid w:val="002B1D29"/>
    <w:rsid w:val="002D6808"/>
    <w:rsid w:val="003815C7"/>
    <w:rsid w:val="00453892"/>
    <w:rsid w:val="00566D2C"/>
    <w:rsid w:val="005A1254"/>
    <w:rsid w:val="005C5D90"/>
    <w:rsid w:val="005E2F7D"/>
    <w:rsid w:val="0070724E"/>
    <w:rsid w:val="00863315"/>
    <w:rsid w:val="00890DDA"/>
    <w:rsid w:val="00936F4C"/>
    <w:rsid w:val="00A24250"/>
    <w:rsid w:val="00B111DB"/>
    <w:rsid w:val="00BE57B8"/>
    <w:rsid w:val="00C56AFB"/>
    <w:rsid w:val="00C85C81"/>
    <w:rsid w:val="00C87E86"/>
    <w:rsid w:val="00E470D4"/>
    <w:rsid w:val="00E7507B"/>
    <w:rsid w:val="00F14FD2"/>
    <w:rsid w:val="00F201AB"/>
    <w:rsid w:val="00F82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F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F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FD2"/>
    <w:rPr>
      <w:sz w:val="18"/>
      <w:szCs w:val="18"/>
    </w:rPr>
  </w:style>
  <w:style w:type="character" w:styleId="a5">
    <w:name w:val="Hyperlink"/>
    <w:basedOn w:val="a0"/>
    <w:uiPriority w:val="99"/>
    <w:unhideWhenUsed/>
    <w:rsid w:val="004538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D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4F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4F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4FD2"/>
    <w:rPr>
      <w:sz w:val="18"/>
      <w:szCs w:val="18"/>
    </w:rPr>
  </w:style>
  <w:style w:type="character" w:styleId="a5">
    <w:name w:val="Hyperlink"/>
    <w:basedOn w:val="a0"/>
    <w:uiPriority w:val="99"/>
    <w:unhideWhenUsed/>
    <w:rsid w:val="004538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anxiongcaigou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1494</Characters>
  <Application>Microsoft Office Word</Application>
  <DocSecurity>0</DocSecurity>
  <Lines>12</Lines>
  <Paragraphs>3</Paragraphs>
  <ScaleCrop>false</ScaleCrop>
  <Company>CHINA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韦云涛</dc:creator>
  <cp:lastModifiedBy>微软用户</cp:lastModifiedBy>
  <cp:revision>2</cp:revision>
  <dcterms:created xsi:type="dcterms:W3CDTF">2020-06-26T01:45:00Z</dcterms:created>
  <dcterms:modified xsi:type="dcterms:W3CDTF">2020-06-26T01:45:00Z</dcterms:modified>
</cp:coreProperties>
</file>