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6D" w:rsidRPr="005E7B30" w:rsidRDefault="006F2C6D" w:rsidP="005E7B3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20"/>
          <w:szCs w:val="20"/>
        </w:rPr>
      </w:pPr>
      <w:r w:rsidRPr="005E7B30">
        <w:rPr>
          <w:rFonts w:ascii="微软雅黑" w:eastAsia="微软雅黑" w:hAnsi="微软雅黑" w:cs="宋体" w:hint="eastAsia"/>
          <w:b/>
          <w:bCs/>
          <w:color w:val="4B4B4B"/>
          <w:kern w:val="36"/>
          <w:sz w:val="20"/>
          <w:szCs w:val="20"/>
        </w:rPr>
        <w:t>教育部</w:t>
      </w:r>
      <w:r w:rsidRPr="005E7B30">
        <w:rPr>
          <w:rFonts w:ascii="微软雅黑" w:eastAsia="微软雅黑" w:hAnsi="微软雅黑" w:cs="宋体"/>
          <w:b/>
          <w:bCs/>
          <w:color w:val="4B4B4B"/>
          <w:kern w:val="36"/>
          <w:sz w:val="20"/>
          <w:szCs w:val="20"/>
        </w:rPr>
        <w:t xml:space="preserve"> </w:t>
      </w:r>
      <w:r w:rsidRPr="005E7B30">
        <w:rPr>
          <w:rFonts w:ascii="微软雅黑" w:eastAsia="微软雅黑" w:hAnsi="微软雅黑" w:cs="宋体" w:hint="eastAsia"/>
          <w:b/>
          <w:bCs/>
          <w:color w:val="4B4B4B"/>
          <w:kern w:val="36"/>
          <w:sz w:val="20"/>
          <w:szCs w:val="20"/>
        </w:rPr>
        <w:t>中央军委国防动员部关于印发</w:t>
      </w:r>
      <w:r w:rsidRPr="005E7B30">
        <w:rPr>
          <w:rFonts w:ascii="微软雅黑" w:eastAsia="微软雅黑" w:hAnsi="微软雅黑" w:cs="宋体"/>
          <w:b/>
          <w:bCs/>
          <w:color w:val="4B4B4B"/>
          <w:kern w:val="36"/>
          <w:sz w:val="20"/>
          <w:szCs w:val="20"/>
        </w:rPr>
        <w:br/>
      </w:r>
      <w:r w:rsidRPr="005E7B30">
        <w:rPr>
          <w:rFonts w:ascii="微软雅黑" w:eastAsia="微软雅黑" w:hAnsi="微软雅黑" w:cs="宋体" w:hint="eastAsia"/>
          <w:b/>
          <w:bCs/>
          <w:color w:val="4B4B4B"/>
          <w:kern w:val="36"/>
          <w:sz w:val="20"/>
          <w:szCs w:val="20"/>
        </w:rPr>
        <w:t>《普通高等学校军事课教学大纲》的通知</w:t>
      </w:r>
    </w:p>
    <w:p w:rsidR="006F2C6D" w:rsidRPr="005E7B30" w:rsidRDefault="006F2C6D" w:rsidP="005E7B30">
      <w:pPr>
        <w:widowControl/>
        <w:shd w:val="clear" w:color="auto" w:fill="FFFFFF"/>
        <w:spacing w:before="100" w:beforeAutospacing="1" w:after="100" w:afterAutospacing="1" w:line="320" w:lineRule="atLeast"/>
        <w:jc w:val="righ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教体艺〔</w:t>
      </w:r>
      <w:r w:rsidRPr="005E7B30">
        <w:rPr>
          <w:rFonts w:ascii="微软雅黑" w:eastAsia="微软雅黑" w:hAnsi="微软雅黑" w:cs="宋体"/>
          <w:color w:val="4B4B4B"/>
          <w:kern w:val="0"/>
          <w:sz w:val="16"/>
          <w:szCs w:val="16"/>
        </w:rPr>
        <w:t>2019</w:t>
      </w:r>
      <w:r w:rsidRPr="005E7B30">
        <w:rPr>
          <w:rFonts w:ascii="微软雅黑" w:eastAsia="微软雅黑" w:hAnsi="微软雅黑" w:cs="宋体" w:hint="eastAsia"/>
          <w:color w:val="4B4B4B"/>
          <w:kern w:val="0"/>
          <w:sz w:val="16"/>
          <w:szCs w:val="16"/>
        </w:rPr>
        <w:t>〕</w:t>
      </w:r>
      <w:r w:rsidRPr="005E7B30">
        <w:rPr>
          <w:rFonts w:ascii="微软雅黑" w:eastAsia="微软雅黑" w:hAnsi="微软雅黑" w:cs="宋体"/>
          <w:color w:val="4B4B4B"/>
          <w:kern w:val="0"/>
          <w:sz w:val="16"/>
          <w:szCs w:val="16"/>
        </w:rPr>
        <w:t>1</w:t>
      </w:r>
      <w:r w:rsidRPr="005E7B30">
        <w:rPr>
          <w:rFonts w:ascii="微软雅黑" w:eastAsia="微软雅黑" w:hAnsi="微软雅黑" w:cs="宋体" w:hint="eastAsia"/>
          <w:color w:val="4B4B4B"/>
          <w:kern w:val="0"/>
          <w:sz w:val="16"/>
          <w:szCs w:val="16"/>
        </w:rPr>
        <w:t>号</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各省、自治区、直辖市教育厅（教委），新疆生产建设兵团教育局，各军兵种、武警部队参谋部，各省军区（卫戍区、警备区），教育部直属各高等学校、部省合建各高等学校：</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根据《中华人民共和国国防法》《中华人民共和国兵役法》《中华人民共和国教育法》，为适应立德树人根本任务和强军目标根本要求，服务军民融合发展战略实施和国防后备力量建设，增强学生国防观念、国家安全意识和忧患危机意识，提高学生综合国防素质，教育部、中央军委国防动员部联合制订了《普通高等学校军事课教学大纲》（以下简称《大纲》）。现将《大纲》印发给你们，请认真学习贯彻《大纲》的内容，按照《大纲》要求，切实保障学生军事理论教学和军事技能训练课时、内容和要求的落实。《大纲》于</w:t>
      </w:r>
      <w:r w:rsidRPr="005E7B30">
        <w:rPr>
          <w:rFonts w:ascii="微软雅黑" w:eastAsia="微软雅黑" w:hAnsi="微软雅黑" w:cs="宋体"/>
          <w:color w:val="4B4B4B"/>
          <w:kern w:val="0"/>
          <w:sz w:val="16"/>
          <w:szCs w:val="16"/>
        </w:rPr>
        <w:t>2019</w:t>
      </w:r>
      <w:r w:rsidRPr="005E7B30">
        <w:rPr>
          <w:rFonts w:ascii="微软雅黑" w:eastAsia="微软雅黑" w:hAnsi="微软雅黑" w:cs="宋体" w:hint="eastAsia"/>
          <w:color w:val="4B4B4B"/>
          <w:kern w:val="0"/>
          <w:sz w:val="16"/>
          <w:szCs w:val="16"/>
        </w:rPr>
        <w:t>年</w:t>
      </w:r>
      <w:r w:rsidRPr="005E7B30">
        <w:rPr>
          <w:rFonts w:ascii="微软雅黑" w:eastAsia="微软雅黑" w:hAnsi="微软雅黑" w:cs="宋体"/>
          <w:color w:val="4B4B4B"/>
          <w:kern w:val="0"/>
          <w:sz w:val="16"/>
          <w:szCs w:val="16"/>
        </w:rPr>
        <w:t>8</w:t>
      </w:r>
      <w:r w:rsidRPr="005E7B30">
        <w:rPr>
          <w:rFonts w:ascii="微软雅黑" w:eastAsia="微软雅黑" w:hAnsi="微软雅黑" w:cs="宋体" w:hint="eastAsia"/>
          <w:color w:val="4B4B4B"/>
          <w:kern w:val="0"/>
          <w:sz w:val="16"/>
          <w:szCs w:val="16"/>
        </w:rPr>
        <w:t>月起在全国施行，原《大纲》（</w:t>
      </w:r>
      <w:r w:rsidRPr="005E7B30">
        <w:rPr>
          <w:rFonts w:ascii="微软雅黑" w:eastAsia="微软雅黑" w:hAnsi="微软雅黑" w:cs="宋体"/>
          <w:color w:val="4B4B4B"/>
          <w:kern w:val="0"/>
          <w:sz w:val="16"/>
          <w:szCs w:val="16"/>
        </w:rPr>
        <w:t>2006</w:t>
      </w:r>
      <w:r w:rsidRPr="005E7B30">
        <w:rPr>
          <w:rFonts w:ascii="微软雅黑" w:eastAsia="微软雅黑" w:hAnsi="微软雅黑" w:cs="宋体" w:hint="eastAsia"/>
          <w:color w:val="4B4B4B"/>
          <w:kern w:val="0"/>
          <w:sz w:val="16"/>
          <w:szCs w:val="16"/>
        </w:rPr>
        <w:t>年修订）废止。</w:t>
      </w:r>
    </w:p>
    <w:p w:rsidR="006F2C6D" w:rsidRPr="005E7B30" w:rsidRDefault="006F2C6D" w:rsidP="005E7B30">
      <w:pPr>
        <w:widowControl/>
        <w:shd w:val="clear" w:color="auto" w:fill="FFFFFF"/>
        <w:spacing w:before="100" w:beforeAutospacing="1" w:after="100" w:afterAutospacing="1" w:line="320" w:lineRule="atLeast"/>
        <w:jc w:val="righ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教育部</w:t>
      </w:r>
      <w:r w:rsidRPr="005E7B30">
        <w:rPr>
          <w:rFonts w:ascii="微软雅黑" w:eastAsia="微软雅黑" w:hAnsi="微软雅黑" w:cs="宋体"/>
          <w:color w:val="4B4B4B"/>
          <w:kern w:val="0"/>
          <w:sz w:val="16"/>
          <w:szCs w:val="16"/>
        </w:rPr>
        <w:t xml:space="preserve"> </w:t>
      </w:r>
      <w:r w:rsidRPr="005E7B30">
        <w:rPr>
          <w:rFonts w:ascii="微软雅黑" w:eastAsia="微软雅黑" w:hAnsi="微软雅黑" w:cs="宋体" w:hint="eastAsia"/>
          <w:color w:val="4B4B4B"/>
          <w:kern w:val="0"/>
          <w:sz w:val="16"/>
          <w:szCs w:val="16"/>
        </w:rPr>
        <w:t>中央军委国防动员部</w:t>
      </w:r>
    </w:p>
    <w:p w:rsidR="006F2C6D" w:rsidRPr="005E7B30" w:rsidRDefault="006F2C6D" w:rsidP="005E7B30">
      <w:pPr>
        <w:widowControl/>
        <w:shd w:val="clear" w:color="auto" w:fill="FFFFFF"/>
        <w:spacing w:before="100" w:beforeAutospacing="1" w:after="100" w:afterAutospacing="1" w:line="320" w:lineRule="atLeast"/>
        <w:jc w:val="righ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2019</w:t>
      </w:r>
      <w:r w:rsidRPr="005E7B30">
        <w:rPr>
          <w:rFonts w:ascii="微软雅黑" w:eastAsia="微软雅黑" w:hAnsi="微软雅黑" w:cs="宋体" w:hint="eastAsia"/>
          <w:color w:val="4B4B4B"/>
          <w:kern w:val="0"/>
          <w:sz w:val="16"/>
          <w:szCs w:val="16"/>
        </w:rPr>
        <w:t>年</w:t>
      </w:r>
      <w:r w:rsidRPr="005E7B30">
        <w:rPr>
          <w:rFonts w:ascii="微软雅黑" w:eastAsia="微软雅黑" w:hAnsi="微软雅黑" w:cs="宋体"/>
          <w:color w:val="4B4B4B"/>
          <w:kern w:val="0"/>
          <w:sz w:val="16"/>
          <w:szCs w:val="16"/>
        </w:rPr>
        <w:t>1</w:t>
      </w:r>
      <w:r w:rsidRPr="005E7B30">
        <w:rPr>
          <w:rFonts w:ascii="微软雅黑" w:eastAsia="微软雅黑" w:hAnsi="微软雅黑" w:cs="宋体" w:hint="eastAsia"/>
          <w:color w:val="4B4B4B"/>
          <w:kern w:val="0"/>
          <w:sz w:val="16"/>
          <w:szCs w:val="16"/>
        </w:rPr>
        <w:t>月</w:t>
      </w:r>
      <w:r w:rsidRPr="005E7B30">
        <w:rPr>
          <w:rFonts w:ascii="微软雅黑" w:eastAsia="微软雅黑" w:hAnsi="微软雅黑" w:cs="宋体"/>
          <w:color w:val="4B4B4B"/>
          <w:kern w:val="0"/>
          <w:sz w:val="16"/>
          <w:szCs w:val="16"/>
        </w:rPr>
        <w:t>11</w:t>
      </w:r>
      <w:r w:rsidRPr="005E7B30">
        <w:rPr>
          <w:rFonts w:ascii="微软雅黑" w:eastAsia="微软雅黑" w:hAnsi="微软雅黑" w:cs="宋体" w:hint="eastAsia"/>
          <w:color w:val="4B4B4B"/>
          <w:kern w:val="0"/>
          <w:sz w:val="16"/>
          <w:szCs w:val="16"/>
        </w:rPr>
        <w:t>日</w:t>
      </w:r>
    </w:p>
    <w:p w:rsidR="006F2C6D" w:rsidRPr="005E7B30" w:rsidRDefault="006F2C6D" w:rsidP="005E7B30">
      <w:pPr>
        <w:widowControl/>
        <w:shd w:val="clear" w:color="auto" w:fill="FFFFFF"/>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w:t>
      </w:r>
      <w:r w:rsidRPr="005E7B30">
        <w:rPr>
          <w:rFonts w:ascii="微软雅黑" w:eastAsia="微软雅黑" w:hAnsi="微软雅黑" w:cs="宋体" w:hint="eastAsia"/>
          <w:b/>
          <w:bCs/>
          <w:color w:val="4B4B4B"/>
          <w:kern w:val="0"/>
          <w:sz w:val="16"/>
        </w:rPr>
        <w:t>普通高等学校军事课教学大纲</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依据《中华人民共和国国防法》《中华人民共和国兵役法》《中华人民共和国教育法》以及国务院、中央军委有关文件精神，结合我国高等教育发展、国防和军队建设发展的实际情况，制订《普通高等学校军事课教学大纲》（以下简称《大纲》）。</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一、课程定位</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是普通高等学校学生的必修课程。军事课要以习近平强军思想和习近平总书记关于教育的重要论述为遵循，全面贯彻党的教育方针、新时代军事战略方针和总体国家安全观，围绕立德树人根本任务和强军目标根本要求，着眼培育和践行社会主义核心价值观</w:t>
      </w:r>
      <w:r w:rsidRPr="005E7B30">
        <w:rPr>
          <w:rFonts w:ascii="微软雅黑" w:eastAsia="微软雅黑" w:hAnsi="微软雅黑" w:cs="宋体"/>
          <w:color w:val="4B4B4B"/>
          <w:kern w:val="0"/>
          <w:sz w:val="16"/>
          <w:szCs w:val="16"/>
        </w:rPr>
        <w:t>,</w:t>
      </w:r>
      <w:r w:rsidRPr="005E7B30">
        <w:rPr>
          <w:rFonts w:ascii="微软雅黑" w:eastAsia="微软雅黑" w:hAnsi="微软雅黑" w:cs="宋体" w:hint="eastAsia"/>
          <w:color w:val="4B4B4B"/>
          <w:kern w:val="0"/>
          <w:sz w:val="16"/>
          <w:szCs w:val="16"/>
        </w:rPr>
        <w:t>以提升学生国防意识和军事素养为重点，为实施军民融合发展战略和建设国防后备力量服务。</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二、课程目标</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普通高等学校通过军事课教学，让学生了解掌握军事基础知识和基本军事技能，增强国防观念、国家安全意识和忧患危机意识，弘扬爱国主义精神、传承红色基因、提高学生综合国防素质。</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三、课程要求</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军事课纳入普通高等学校人才培养体系，列入学校人才培养方案和教学计划，实行学分制管理，课程考核成绩记入学籍档案。</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军事课由《军事理论》《军事技能》两部分组成。《军事理论》教学时数</w:t>
      </w:r>
      <w:r w:rsidRPr="005E7B30">
        <w:rPr>
          <w:rFonts w:ascii="微软雅黑" w:eastAsia="微软雅黑" w:hAnsi="微软雅黑" w:cs="宋体"/>
          <w:color w:val="4B4B4B"/>
          <w:kern w:val="0"/>
          <w:sz w:val="16"/>
          <w:szCs w:val="16"/>
        </w:rPr>
        <w:t>36</w:t>
      </w:r>
      <w:r w:rsidRPr="005E7B30">
        <w:rPr>
          <w:rFonts w:ascii="微软雅黑" w:eastAsia="微软雅黑" w:hAnsi="微软雅黑" w:cs="宋体" w:hint="eastAsia"/>
          <w:color w:val="4B4B4B"/>
          <w:kern w:val="0"/>
          <w:sz w:val="16"/>
          <w:szCs w:val="16"/>
        </w:rPr>
        <w:t>学时，记</w:t>
      </w:r>
      <w:r w:rsidRPr="005E7B30">
        <w:rPr>
          <w:rFonts w:ascii="微软雅黑" w:eastAsia="微软雅黑" w:hAnsi="微软雅黑" w:cs="宋体"/>
          <w:color w:val="4B4B4B"/>
          <w:kern w:val="0"/>
          <w:sz w:val="16"/>
          <w:szCs w:val="16"/>
        </w:rPr>
        <w:t>2</w:t>
      </w:r>
      <w:r w:rsidRPr="005E7B30">
        <w:rPr>
          <w:rFonts w:ascii="微软雅黑" w:eastAsia="微软雅黑" w:hAnsi="微软雅黑" w:cs="宋体" w:hint="eastAsia"/>
          <w:color w:val="4B4B4B"/>
          <w:kern w:val="0"/>
          <w:sz w:val="16"/>
          <w:szCs w:val="16"/>
        </w:rPr>
        <w:t>学分；《军事技能》训练时间</w:t>
      </w:r>
      <w:r w:rsidRPr="005E7B30">
        <w:rPr>
          <w:rFonts w:ascii="Î¢ÈíÑÅºÚ Western" w:eastAsia="微软雅黑" w:hAnsi="Î¢ÈíÑÅºÚ Western" w:cs="宋体"/>
          <w:color w:val="4B4B4B"/>
          <w:kern w:val="0"/>
          <w:sz w:val="16"/>
          <w:szCs w:val="16"/>
        </w:rPr>
        <w:t>2—3</w:t>
      </w:r>
      <w:r w:rsidRPr="005E7B30">
        <w:rPr>
          <w:rFonts w:ascii="微软雅黑" w:eastAsia="微软雅黑" w:hAnsi="微软雅黑" w:cs="宋体" w:hint="eastAsia"/>
          <w:color w:val="4B4B4B"/>
          <w:kern w:val="0"/>
          <w:sz w:val="16"/>
          <w:szCs w:val="16"/>
        </w:rPr>
        <w:t>周，实际训练时间不得少于</w:t>
      </w:r>
      <w:r w:rsidRPr="005E7B30">
        <w:rPr>
          <w:rFonts w:ascii="微软雅黑" w:eastAsia="微软雅黑" w:hAnsi="微软雅黑" w:cs="宋体"/>
          <w:color w:val="4B4B4B"/>
          <w:kern w:val="0"/>
          <w:sz w:val="16"/>
          <w:szCs w:val="16"/>
        </w:rPr>
        <w:t>14</w:t>
      </w:r>
      <w:r w:rsidRPr="005E7B30">
        <w:rPr>
          <w:rFonts w:ascii="微软雅黑" w:eastAsia="微软雅黑" w:hAnsi="微软雅黑" w:cs="宋体" w:hint="eastAsia"/>
          <w:color w:val="4B4B4B"/>
          <w:kern w:val="0"/>
          <w:sz w:val="16"/>
          <w:szCs w:val="16"/>
        </w:rPr>
        <w:t>天</w:t>
      </w:r>
      <w:r w:rsidRPr="005E7B30">
        <w:rPr>
          <w:rFonts w:ascii="微软雅黑" w:eastAsia="微软雅黑" w:hAnsi="微软雅黑" w:cs="宋体"/>
          <w:color w:val="4B4B4B"/>
          <w:kern w:val="0"/>
          <w:sz w:val="16"/>
          <w:szCs w:val="16"/>
        </w:rPr>
        <w:t>112</w:t>
      </w:r>
      <w:r w:rsidRPr="005E7B30">
        <w:rPr>
          <w:rFonts w:ascii="微软雅黑" w:eastAsia="微软雅黑" w:hAnsi="微软雅黑" w:cs="宋体" w:hint="eastAsia"/>
          <w:color w:val="4B4B4B"/>
          <w:kern w:val="0"/>
          <w:sz w:val="16"/>
          <w:szCs w:val="16"/>
        </w:rPr>
        <w:t>学时，记</w:t>
      </w:r>
      <w:r w:rsidRPr="005E7B30">
        <w:rPr>
          <w:rFonts w:ascii="微软雅黑" w:eastAsia="微软雅黑" w:hAnsi="微软雅黑" w:cs="宋体"/>
          <w:color w:val="4B4B4B"/>
          <w:kern w:val="0"/>
          <w:sz w:val="16"/>
          <w:szCs w:val="16"/>
        </w:rPr>
        <w:t>2</w:t>
      </w:r>
      <w:r w:rsidRPr="005E7B30">
        <w:rPr>
          <w:rFonts w:ascii="微软雅黑" w:eastAsia="微软雅黑" w:hAnsi="微软雅黑" w:cs="宋体" w:hint="eastAsia"/>
          <w:color w:val="4B4B4B"/>
          <w:kern w:val="0"/>
          <w:sz w:val="16"/>
          <w:szCs w:val="16"/>
        </w:rPr>
        <w:t>学分。课程内容含“必讲（必训）”内容（以“</w:t>
      </w:r>
      <w:r w:rsidRPr="005E7B30">
        <w:rPr>
          <w:rFonts w:ascii="微软雅黑" w:eastAsia="微软雅黑" w:hAnsi="微软雅黑" w:cs="宋体"/>
          <w:color w:val="4B4B4B"/>
          <w:kern w:val="0"/>
          <w:sz w:val="16"/>
          <w:szCs w:val="16"/>
        </w:rPr>
        <w:t>*</w:t>
      </w:r>
      <w:r w:rsidRPr="005E7B30">
        <w:rPr>
          <w:rFonts w:ascii="微软雅黑" w:eastAsia="微软雅黑" w:hAnsi="微软雅黑" w:cs="宋体" w:hint="eastAsia"/>
          <w:color w:val="4B4B4B"/>
          <w:kern w:val="0"/>
          <w:sz w:val="16"/>
          <w:szCs w:val="16"/>
        </w:rPr>
        <w:t>”标识）和“选讲（选训）”内容（其他未标识者），各学校可根据本校实际情况在确保完成“必讲（必训）”内容的基础上，灵活选择“选讲（选训）”内容，但必须完成总学时。</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普通高等学校要严格按纲施教、施训和考核，严禁以任何理由和方式调减、占用教学、训练内容和时数。</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四、课程内容</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（一）《军事理论》教学内容、教学目标与教学时数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87"/>
        <w:gridCol w:w="1952"/>
        <w:gridCol w:w="2440"/>
        <w:gridCol w:w="1797"/>
        <w:gridCol w:w="741"/>
        <w:gridCol w:w="789"/>
      </w:tblGrid>
      <w:tr w:rsidR="006F2C6D" w:rsidRPr="00AB4F79" w:rsidTr="005E7B30">
        <w:trPr>
          <w:trHeight w:val="454"/>
          <w:jc w:val="center"/>
        </w:trPr>
        <w:tc>
          <w:tcPr>
            <w:tcW w:w="2997" w:type="pct"/>
            <w:gridSpan w:val="3"/>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教学内容</w:t>
            </w:r>
          </w:p>
        </w:tc>
        <w:tc>
          <w:tcPr>
            <w:tcW w:w="1082"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教学目标</w:t>
            </w:r>
          </w:p>
        </w:tc>
        <w:tc>
          <w:tcPr>
            <w:tcW w:w="446"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建议</w:t>
            </w:r>
          </w:p>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学时</w:t>
            </w:r>
          </w:p>
        </w:tc>
        <w:tc>
          <w:tcPr>
            <w:tcW w:w="476" w:type="pct"/>
            <w:tcBorders>
              <w:top w:val="single" w:sz="8" w:space="0" w:color="auto"/>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备注</w:t>
            </w:r>
          </w:p>
        </w:tc>
      </w:tr>
      <w:tr w:rsidR="006F2C6D" w:rsidRPr="00AB4F79" w:rsidTr="005E7B30">
        <w:trPr>
          <w:trHeight w:val="454"/>
          <w:jc w:val="center"/>
        </w:trPr>
        <w:tc>
          <w:tcPr>
            <w:tcW w:w="353"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Times New Roman" w:eastAsia="微软雅黑" w:hAnsi="Times New Roman"/>
                <w:b/>
                <w:bCs/>
                <w:color w:val="4B4B4B"/>
                <w:kern w:val="0"/>
                <w:szCs w:val="21"/>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中国国防</w:t>
            </w: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国防概述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国防的内涵、国防类型、国防历史与启示、现代国防观</w:t>
            </w:r>
          </w:p>
        </w:tc>
        <w:tc>
          <w:tcPr>
            <w:tcW w:w="1082"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理解国防内涵和国防历史，树立正确的国防观；了解我国国防体制、国防战略、国防政策以及国防成就，激发学生的爱国热情；熟悉国防法规、武装力量、国防动员的主要内容，增强学生国防意识</w:t>
            </w:r>
          </w:p>
        </w:tc>
        <w:tc>
          <w:tcPr>
            <w:tcW w:w="446"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10</w:t>
            </w:r>
          </w:p>
        </w:tc>
        <w:tc>
          <w:tcPr>
            <w:tcW w:w="476"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国防法规</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国防法规体系、公民的国防权利与义务</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国防建设</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国防体制、国防战略、国防政策、国防成就、军民融合</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武装力量</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中国武装力量性质、宗旨、使命及武装力量构成，人民军队的发展历程</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国防动员</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国防动员内涵、国防动员主要内容及意义</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3"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国家安全</w:t>
            </w: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ind w:firstLine="210"/>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国家安全概述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国家安全的内涵、原则、总体安全观</w:t>
            </w:r>
          </w:p>
        </w:tc>
        <w:tc>
          <w:tcPr>
            <w:tcW w:w="1082"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正确把握和认识国家安全的内涵，理解我国总体国家安全观，提升学生防间保密意识；深刻认识当前我国面临的安全形势。了解世界主要国家军事力量及战略动向，增强学生忧患意识</w:t>
            </w:r>
          </w:p>
        </w:tc>
        <w:tc>
          <w:tcPr>
            <w:tcW w:w="446"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8</w:t>
            </w:r>
          </w:p>
        </w:tc>
        <w:tc>
          <w:tcPr>
            <w:tcW w:w="476"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国家安全形势</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我国地缘环境基本概况、地缘安全、新形势下的国家安全、新兴领域的国家安全</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国际战略形势</w:t>
            </w:r>
          </w:p>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xml:space="preserve">  </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国际战略形势现状与发展趋势、世界主要国家军事力量及战略动向</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3"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军事思想</w:t>
            </w: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军事思想概述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军事思想的内涵、发展历程以及地位作用</w:t>
            </w:r>
          </w:p>
        </w:tc>
        <w:tc>
          <w:tcPr>
            <w:tcW w:w="1082"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了解军事思想的内涵和形成与发展历程，了解外国代表性军事思想，熟悉我国军事思想的主要内容、地位作用和现实意义，理解习近平强军思想的科学含义和主要内容，使学生树立科学的战争观和方法论</w:t>
            </w:r>
          </w:p>
        </w:tc>
        <w:tc>
          <w:tcPr>
            <w:tcW w:w="446"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6</w:t>
            </w:r>
          </w:p>
        </w:tc>
        <w:tc>
          <w:tcPr>
            <w:tcW w:w="476"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ind w:firstLine="210"/>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外国军事思想</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外国军事思想的主要内容、特点以及代表性著作</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中国古代军事思想</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中国古代军事思想的主要内容、特点以及代表性著作</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当代中国军事思想</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毛泽东军事思想、邓小平新时期军队建设思想、江泽民国防和军队建设思想、胡锦涛国防和军队建设思想、习近平强军思想</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3"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现代战争</w:t>
            </w: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ind w:firstLine="210"/>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战争概述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战争的内涵、特点、发展的历程</w:t>
            </w:r>
          </w:p>
        </w:tc>
        <w:tc>
          <w:tcPr>
            <w:tcW w:w="1082"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了解战争内涵、特点、发展历程，理解新军事革命的内涵和发展演变，掌握机械化战争、信息化战争的形成、主要形态、特征、代表性战例和发展趋势，使学生树立打赢信息化战争的信心</w:t>
            </w:r>
          </w:p>
        </w:tc>
        <w:tc>
          <w:tcPr>
            <w:tcW w:w="446"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6</w:t>
            </w:r>
          </w:p>
        </w:tc>
        <w:tc>
          <w:tcPr>
            <w:tcW w:w="476"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新军事革命</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新军事革命的内涵、发展演变、主要内容</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机械化战争</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机械化战争的基本内涵、主要形态、特征和代表性战例</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信息化战争</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信息化战争的基本内涵、主要形态、特征、代表性战例，战争形态发展趋势</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3"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信息化装备</w:t>
            </w: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ind w:firstLine="210"/>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信息化装备概述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信息化装备的内涵、分类、对现代作战的影响以及发展趋势</w:t>
            </w:r>
          </w:p>
        </w:tc>
        <w:tc>
          <w:tcPr>
            <w:tcW w:w="1082"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了解信息化装备的内涵、分类、发展及对现代作战的影响，熟悉世界主要国家信息化装备的发展情况，激发学生学习高科技的积极性，为国防科研奠定人才基础</w:t>
            </w:r>
          </w:p>
        </w:tc>
        <w:tc>
          <w:tcPr>
            <w:tcW w:w="446"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center"/>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6</w:t>
            </w:r>
          </w:p>
        </w:tc>
        <w:tc>
          <w:tcPr>
            <w:tcW w:w="476"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Times New Roman" w:eastAsia="微软雅黑" w:hAnsi="Times New Roman"/>
                <w:color w:val="4B4B4B"/>
                <w:kern w:val="0"/>
                <w:szCs w:val="21"/>
              </w:rPr>
              <w:t xml:space="preserve"> </w:t>
            </w:r>
            <w:r w:rsidRPr="005E7B30">
              <w:rPr>
                <w:rFonts w:ascii="宋体" w:hAnsi="宋体" w:cs="宋体" w:hint="eastAsia"/>
                <w:color w:val="4B4B4B"/>
                <w:kern w:val="0"/>
                <w:szCs w:val="21"/>
              </w:rPr>
              <w:t>信息化作战平台</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各国主战飞机、坦克、军舰等信息武器装备发展趋势、战例应用</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r w:rsidRPr="005E7B30">
              <w:rPr>
                <w:rFonts w:ascii="宋体" w:hAnsi="宋体" w:cs="宋体" w:hint="eastAsia"/>
                <w:color w:val="4B4B4B"/>
                <w:kern w:val="0"/>
                <w:szCs w:val="21"/>
              </w:rPr>
              <w:t>综合电子信息系统</w:t>
            </w: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指挥控制系统、预警系统、导航系统等装备电子信息系统发展趋势、战例应用</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D8310D">
        <w:trPr>
          <w:trHeight w:val="454"/>
          <w:jc w:val="center"/>
        </w:trPr>
        <w:tc>
          <w:tcPr>
            <w:tcW w:w="0" w:type="auto"/>
            <w:vMerge/>
            <w:tcBorders>
              <w:top w:val="nil"/>
              <w:left w:val="nil"/>
              <w:bottom w:val="nil"/>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nil"/>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Times New Roman" w:eastAsia="微软雅黑" w:hAnsi="Times New Roman"/>
                <w:color w:val="4B4B4B"/>
                <w:kern w:val="0"/>
                <w:szCs w:val="21"/>
              </w:rPr>
              <w:t> </w:t>
            </w:r>
            <w:r w:rsidRPr="005E7B30">
              <w:rPr>
                <w:rFonts w:ascii="宋体" w:hAnsi="宋体" w:cs="宋体" w:hint="eastAsia"/>
                <w:color w:val="4B4B4B"/>
                <w:kern w:val="0"/>
                <w:szCs w:val="21"/>
              </w:rPr>
              <w:t>信息化杀伤武器</w:t>
            </w:r>
          </w:p>
        </w:tc>
        <w:tc>
          <w:tcPr>
            <w:tcW w:w="1469" w:type="pct"/>
            <w:tcBorders>
              <w:top w:val="nil"/>
              <w:left w:val="nil"/>
              <w:bottom w:val="nil"/>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 w:val="22"/>
              </w:rPr>
              <w:t>新概念、精确制导、核生化武器装备等武器装备发展趋势、战例应用</w:t>
            </w:r>
          </w:p>
        </w:tc>
        <w:tc>
          <w:tcPr>
            <w:tcW w:w="0" w:type="auto"/>
            <w:vMerge/>
            <w:tcBorders>
              <w:top w:val="nil"/>
              <w:left w:val="nil"/>
              <w:bottom w:val="nil"/>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nil"/>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nil"/>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tcBorders>
              <w:top w:val="nil"/>
              <w:left w:val="nil"/>
              <w:bottom w:val="single" w:sz="8" w:space="0" w:color="auto"/>
              <w:right w:val="single" w:sz="8" w:space="0" w:color="auto"/>
            </w:tcBorders>
            <w:vAlign w:val="center"/>
          </w:tcPr>
          <w:p w:rsidR="006F2C6D" w:rsidRDefault="006F2C6D" w:rsidP="005E7B30">
            <w:pPr>
              <w:widowControl/>
              <w:jc w:val="left"/>
              <w:rPr>
                <w:rFonts w:ascii="微软雅黑" w:eastAsia="微软雅黑" w:hAnsi="微软雅黑" w:cs="宋体"/>
                <w:color w:val="4B4B4B"/>
                <w:kern w:val="0"/>
                <w:sz w:val="16"/>
                <w:szCs w:val="16"/>
              </w:rPr>
            </w:pPr>
          </w:p>
          <w:p w:rsidR="006F2C6D" w:rsidRDefault="006F2C6D" w:rsidP="005E7B30">
            <w:pPr>
              <w:widowControl/>
              <w:jc w:val="left"/>
              <w:rPr>
                <w:rFonts w:ascii="微软雅黑" w:eastAsia="微软雅黑" w:hAnsi="微软雅黑" w:cs="宋体"/>
                <w:color w:val="4B4B4B"/>
                <w:kern w:val="0"/>
                <w:sz w:val="16"/>
                <w:szCs w:val="16"/>
              </w:rPr>
            </w:pPr>
          </w:p>
          <w:p w:rsidR="006F2C6D" w:rsidRDefault="006F2C6D" w:rsidP="005E7B30">
            <w:pPr>
              <w:widowControl/>
              <w:jc w:val="left"/>
              <w:rPr>
                <w:rFonts w:ascii="微软雅黑" w:eastAsia="微软雅黑" w:hAnsi="微软雅黑" w:cs="宋体"/>
                <w:color w:val="4B4B4B"/>
                <w:kern w:val="0"/>
                <w:sz w:val="16"/>
                <w:szCs w:val="16"/>
              </w:rPr>
            </w:pPr>
          </w:p>
          <w:p w:rsidR="006F2C6D" w:rsidRDefault="006F2C6D" w:rsidP="005E7B30">
            <w:pPr>
              <w:widowControl/>
              <w:jc w:val="left"/>
              <w:rPr>
                <w:rFonts w:ascii="微软雅黑" w:eastAsia="微软雅黑" w:hAnsi="微软雅黑" w:cs="宋体"/>
                <w:color w:val="4B4B4B"/>
                <w:kern w:val="0"/>
                <w:sz w:val="16"/>
                <w:szCs w:val="16"/>
              </w:rPr>
            </w:pPr>
          </w:p>
          <w:p w:rsidR="006F2C6D" w:rsidRDefault="006F2C6D" w:rsidP="005E7B30">
            <w:pPr>
              <w:widowControl/>
              <w:jc w:val="left"/>
              <w:rPr>
                <w:rFonts w:ascii="微软雅黑" w:eastAsia="微软雅黑" w:hAnsi="微软雅黑" w:cs="宋体"/>
                <w:color w:val="4B4B4B"/>
                <w:kern w:val="0"/>
                <w:sz w:val="16"/>
                <w:szCs w:val="16"/>
              </w:rPr>
            </w:pPr>
          </w:p>
          <w:p w:rsidR="006F2C6D" w:rsidRDefault="006F2C6D" w:rsidP="005E7B30">
            <w:pPr>
              <w:widowControl/>
              <w:jc w:val="left"/>
              <w:rPr>
                <w:rFonts w:ascii="微软雅黑" w:eastAsia="微软雅黑" w:hAnsi="微软雅黑" w:cs="宋体"/>
                <w:color w:val="4B4B4B"/>
                <w:kern w:val="0"/>
                <w:sz w:val="16"/>
                <w:szCs w:val="16"/>
              </w:rPr>
            </w:pPr>
          </w:p>
          <w:p w:rsidR="006F2C6D" w:rsidRPr="00D8310D" w:rsidRDefault="006F2C6D" w:rsidP="005E7B30">
            <w:pPr>
              <w:widowControl/>
              <w:jc w:val="left"/>
              <w:rPr>
                <w:rFonts w:ascii="微软雅黑" w:eastAsia="微软雅黑" w:hAnsi="微软雅黑" w:cs="宋体"/>
                <w:color w:val="4B4B4B"/>
                <w:kern w:val="0"/>
                <w:sz w:val="16"/>
                <w:szCs w:val="16"/>
              </w:rPr>
            </w:pPr>
          </w:p>
        </w:tc>
        <w:tc>
          <w:tcPr>
            <w:tcW w:w="1175"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Times New Roman" w:eastAsia="微软雅黑" w:hAnsi="Times New Roman"/>
                <w:color w:val="4B4B4B"/>
                <w:kern w:val="0"/>
                <w:szCs w:val="21"/>
              </w:rPr>
            </w:pPr>
          </w:p>
        </w:tc>
        <w:tc>
          <w:tcPr>
            <w:tcW w:w="1469"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240" w:lineRule="atLeast"/>
              <w:jc w:val="left"/>
              <w:rPr>
                <w:rFonts w:ascii="宋体" w:cs="宋体"/>
                <w:color w:val="4B4B4B"/>
                <w:kern w:val="0"/>
                <w:sz w:val="22"/>
              </w:rPr>
            </w:pPr>
          </w:p>
        </w:tc>
        <w:tc>
          <w:tcPr>
            <w:tcW w:w="0" w:type="auto"/>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bl>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楷体" w:eastAsia="楷体" w:hAnsi="楷体" w:cs="宋体" w:hint="eastAsia"/>
          <w:color w:val="4B4B4B"/>
          <w:kern w:val="0"/>
          <w:sz w:val="16"/>
          <w:szCs w:val="16"/>
        </w:rPr>
        <w:t>注：带</w:t>
      </w:r>
      <w:r w:rsidRPr="005E7B30">
        <w:rPr>
          <w:rFonts w:ascii="楷体" w:eastAsia="楷体" w:hAnsi="楷体" w:cs="宋体"/>
          <w:color w:val="4B4B4B"/>
          <w:kern w:val="0"/>
          <w:sz w:val="16"/>
          <w:szCs w:val="16"/>
        </w:rPr>
        <w:t>*</w:t>
      </w:r>
      <w:r w:rsidRPr="005E7B30">
        <w:rPr>
          <w:rFonts w:ascii="楷体" w:eastAsia="楷体" w:hAnsi="楷体" w:cs="宋体" w:hint="eastAsia"/>
          <w:color w:val="4B4B4B"/>
          <w:kern w:val="0"/>
          <w:sz w:val="16"/>
          <w:szCs w:val="16"/>
        </w:rPr>
        <w:t>的为必讲课目，其余为选讲课目。</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（二）《军事技能》训练内容、教学目标与教学时数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4"/>
        <w:gridCol w:w="1930"/>
        <w:gridCol w:w="2528"/>
        <w:gridCol w:w="1822"/>
        <w:gridCol w:w="782"/>
        <w:gridCol w:w="650"/>
      </w:tblGrid>
      <w:tr w:rsidR="006F2C6D" w:rsidRPr="00AB4F79" w:rsidTr="005E7B30">
        <w:trPr>
          <w:trHeight w:val="454"/>
          <w:jc w:val="center"/>
        </w:trPr>
        <w:tc>
          <w:tcPr>
            <w:tcW w:w="3040" w:type="pct"/>
            <w:gridSpan w:val="3"/>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训练内容</w:t>
            </w:r>
          </w:p>
        </w:tc>
        <w:tc>
          <w:tcPr>
            <w:tcW w:w="1097"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教学目标</w:t>
            </w:r>
          </w:p>
        </w:tc>
        <w:tc>
          <w:tcPr>
            <w:tcW w:w="471" w:type="pct"/>
            <w:tcBorders>
              <w:top w:val="single" w:sz="8" w:space="0" w:color="auto"/>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建议</w:t>
            </w:r>
          </w:p>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学时</w:t>
            </w:r>
          </w:p>
        </w:tc>
        <w:tc>
          <w:tcPr>
            <w:tcW w:w="392" w:type="pct"/>
            <w:tcBorders>
              <w:top w:val="single" w:sz="8" w:space="0" w:color="auto"/>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备注</w:t>
            </w:r>
          </w:p>
        </w:tc>
      </w:tr>
      <w:tr w:rsidR="006F2C6D" w:rsidRPr="00AB4F79" w:rsidTr="005E7B30">
        <w:trPr>
          <w:trHeight w:val="454"/>
          <w:jc w:val="center"/>
        </w:trPr>
        <w:tc>
          <w:tcPr>
            <w:tcW w:w="35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共同条令教育</w:t>
            </w:r>
          </w:p>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与训练</w:t>
            </w: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共同条令教育</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《内务条令》《纪律条令》《队列条令》教育</w:t>
            </w:r>
          </w:p>
        </w:tc>
        <w:tc>
          <w:tcPr>
            <w:tcW w:w="109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了解中国人民解放军三大条令的主要内容，掌握队列动作的基本要领，养成良好的军事素养，增强组织纪律观念，培养学生令行禁止、团结奋进、顽强拼搏的过硬作风</w:t>
            </w:r>
          </w:p>
        </w:tc>
        <w:tc>
          <w:tcPr>
            <w:tcW w:w="471"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Î¢ÈíÑÅºÚ Western" w:eastAsia="微软雅黑" w:hAnsi="Î¢ÈíÑÅºÚ Western" w:cs="宋体"/>
                <w:color w:val="4B4B4B"/>
                <w:kern w:val="0"/>
                <w:sz w:val="16"/>
                <w:szCs w:val="16"/>
              </w:rPr>
            </w:pPr>
            <w:r w:rsidRPr="005E7B30">
              <w:rPr>
                <w:rFonts w:ascii="Î¢ÈíÑÅºÚ Western" w:eastAsia="微软雅黑" w:hAnsi="Î¢ÈíÑÅºÚ Western" w:cs="宋体"/>
                <w:color w:val="4B4B4B"/>
                <w:kern w:val="0"/>
                <w:sz w:val="16"/>
                <w:szCs w:val="16"/>
              </w:rPr>
              <w:t>40—56</w:t>
            </w:r>
          </w:p>
        </w:tc>
        <w:tc>
          <w:tcPr>
            <w:tcW w:w="392"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分队的队列动作</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集合、离散，整齐、报数，出列、入列，行进、停止，方向变换</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现地教学</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走进军营，学唱军营歌曲，走进爱国主义教育基地</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b/>
                <w:bCs/>
                <w:color w:val="4B4B4B"/>
                <w:kern w:val="0"/>
                <w:sz w:val="16"/>
                <w:szCs w:val="16"/>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b/>
                <w:bCs/>
                <w:color w:val="4B4B4B"/>
                <w:kern w:val="0"/>
                <w:sz w:val="16"/>
                <w:szCs w:val="16"/>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b/>
                <w:bCs/>
                <w:color w:val="4B4B4B"/>
                <w:kern w:val="0"/>
                <w:sz w:val="16"/>
                <w:szCs w:val="16"/>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射击</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与战术训练</w:t>
            </w: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轻武器射击</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轻武器性能、构造与保养，简易射击学理，武器操作、实弹射击</w:t>
            </w:r>
          </w:p>
        </w:tc>
        <w:tc>
          <w:tcPr>
            <w:tcW w:w="109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了解轻武器的战斗性能，掌握射击动作要领，进行体会射击；学会单兵战术基础动作，了解战斗班组攻防的基本动作和战术原则，培养学生良好的战斗素养</w:t>
            </w:r>
          </w:p>
        </w:tc>
        <w:tc>
          <w:tcPr>
            <w:tcW w:w="471"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Î¢ÈíÑÅºÚ Western" w:eastAsia="微软雅黑" w:hAnsi="Î¢ÈíÑÅºÚ Western" w:cs="宋体"/>
                <w:color w:val="4B4B4B"/>
                <w:kern w:val="0"/>
                <w:sz w:val="16"/>
                <w:szCs w:val="16"/>
              </w:rPr>
            </w:pPr>
            <w:r w:rsidRPr="005E7B30">
              <w:rPr>
                <w:rFonts w:ascii="Î¢ÈíÑÅºÚ Western" w:eastAsia="微软雅黑" w:hAnsi="Î¢ÈíÑÅºÚ Western" w:cs="宋体"/>
                <w:color w:val="4B4B4B"/>
                <w:kern w:val="0"/>
                <w:sz w:val="16"/>
                <w:szCs w:val="16"/>
              </w:rPr>
              <w:t>20—28</w:t>
            </w:r>
          </w:p>
        </w:tc>
        <w:tc>
          <w:tcPr>
            <w:tcW w:w="392"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在训练条件不满足时，可采取模拟训练</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战术</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单兵战术基础动作、分队战术</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防卫技能</w:t>
            </w:r>
          </w:p>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与</w:t>
            </w:r>
          </w:p>
          <w:p w:rsidR="006F2C6D" w:rsidRPr="005E7B30" w:rsidRDefault="006F2C6D" w:rsidP="005E7B30">
            <w:pPr>
              <w:widowControl/>
              <w:spacing w:before="100" w:beforeAutospacing="1" w:after="100" w:afterAutospacing="1" w:line="320" w:lineRule="atLeast"/>
              <w:jc w:val="center"/>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战时防护训练</w:t>
            </w: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Symbol" w:eastAsia="微软雅黑" w:hAnsi="Symbol" w:cs="宋体"/>
                <w:color w:val="4B4B4B"/>
                <w:kern w:val="0"/>
                <w:szCs w:val="21"/>
              </w:rPr>
              <w:t></w:t>
            </w: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格斗基础</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格斗常识、格斗基本功，捕俘拳等</w:t>
            </w:r>
          </w:p>
        </w:tc>
        <w:tc>
          <w:tcPr>
            <w:tcW w:w="109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了解格斗、防护的基本知识，熟悉卫生、救护基本要领，掌握战场自救互救的技能，提高学生安全防护能力</w:t>
            </w:r>
          </w:p>
        </w:tc>
        <w:tc>
          <w:tcPr>
            <w:tcW w:w="471"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Î¢ÈíÑÅºÚ Western" w:eastAsia="微软雅黑" w:hAnsi="Î¢ÈíÑÅºÚ Western" w:cs="宋体"/>
                <w:color w:val="4B4B4B"/>
                <w:kern w:val="0"/>
                <w:sz w:val="16"/>
                <w:szCs w:val="16"/>
              </w:rPr>
            </w:pPr>
            <w:r w:rsidRPr="005E7B30">
              <w:rPr>
                <w:rFonts w:ascii="Î¢ÈíÑÅºÚ Western" w:eastAsia="微软雅黑" w:hAnsi="Î¢ÈíÑÅºÚ Western" w:cs="宋体"/>
                <w:color w:val="4B4B4B"/>
                <w:kern w:val="0"/>
                <w:sz w:val="16"/>
                <w:szCs w:val="16"/>
              </w:rPr>
              <w:t>32—48</w:t>
            </w:r>
          </w:p>
        </w:tc>
        <w:tc>
          <w:tcPr>
            <w:tcW w:w="392"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战场医疗救护</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救护基本知识、个人卫生，意外伤的救护、心肺复苏，战场自救互救</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核生化防护</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防护基本知识和技能，防护装备使用</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35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战备基础与</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b/>
                <w:bCs/>
                <w:color w:val="4B4B4B"/>
                <w:kern w:val="0"/>
                <w:szCs w:val="21"/>
              </w:rPr>
              <w:t>应用训练</w:t>
            </w: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战备规定</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战备规定主要内容、要求</w:t>
            </w:r>
          </w:p>
        </w:tc>
        <w:tc>
          <w:tcPr>
            <w:tcW w:w="1097"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了解战备规定、紧急集合、徒步行军、野外生存的基本要求、方法和注意事项，学会识图用图、电磁频谱监测的基本技能，培养学生分析判断和应急处置能力，全面提升综合军事素质</w:t>
            </w:r>
          </w:p>
        </w:tc>
        <w:tc>
          <w:tcPr>
            <w:tcW w:w="471" w:type="pct"/>
            <w:vMerge w:val="restar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center"/>
              <w:rPr>
                <w:rFonts w:ascii="Î¢ÈíÑÅºÚ Western" w:eastAsia="微软雅黑" w:hAnsi="Î¢ÈíÑÅºÚ Western" w:cs="宋体"/>
                <w:color w:val="4B4B4B"/>
                <w:kern w:val="0"/>
                <w:sz w:val="16"/>
                <w:szCs w:val="16"/>
              </w:rPr>
            </w:pPr>
            <w:r w:rsidRPr="005E7B30">
              <w:rPr>
                <w:rFonts w:ascii="Î¢ÈíÑÅºÚ Western" w:eastAsia="微软雅黑" w:hAnsi="Î¢ÈíÑÅºÚ Western" w:cs="宋体"/>
                <w:color w:val="4B4B4B"/>
                <w:kern w:val="0"/>
                <w:sz w:val="16"/>
                <w:szCs w:val="16"/>
              </w:rPr>
              <w:t>20—36</w:t>
            </w:r>
          </w:p>
        </w:tc>
        <w:tc>
          <w:tcPr>
            <w:tcW w:w="392" w:type="pct"/>
            <w:vMerge w:val="restart"/>
            <w:tcBorders>
              <w:top w:val="nil"/>
              <w:left w:val="nil"/>
              <w:bottom w:val="single" w:sz="8" w:space="0" w:color="auto"/>
              <w:right w:val="nil"/>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p>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紧急集合</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spacing w:val="-16"/>
                <w:kern w:val="0"/>
                <w:szCs w:val="21"/>
              </w:rPr>
              <w:t>紧急集合要领、紧急集合训练</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xml:space="preserve">* </w:t>
            </w:r>
            <w:r w:rsidRPr="005E7B30">
              <w:rPr>
                <w:rFonts w:ascii="宋体" w:hAnsi="宋体" w:cs="宋体" w:hint="eastAsia"/>
                <w:color w:val="4B4B4B"/>
                <w:kern w:val="0"/>
                <w:szCs w:val="21"/>
              </w:rPr>
              <w:t>行军拉练</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行军拉练基本要领、方法，徒步行军实践，宿营</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r w:rsidRPr="005E7B30">
              <w:rPr>
                <w:rFonts w:ascii="宋体" w:hAnsi="宋体" w:cs="宋体" w:hint="eastAsia"/>
                <w:color w:val="4B4B4B"/>
                <w:kern w:val="0"/>
                <w:szCs w:val="21"/>
              </w:rPr>
              <w:t>野外生存</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识别和采集野生食物，寻找水源和鉴别水质，野炊</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color w:val="4B4B4B"/>
                <w:kern w:val="0"/>
                <w:sz w:val="16"/>
                <w:szCs w:val="16"/>
              </w:rPr>
              <w:t> </w:t>
            </w:r>
            <w:r w:rsidRPr="005E7B30">
              <w:rPr>
                <w:rFonts w:ascii="宋体" w:hAnsi="宋体" w:cs="宋体" w:hint="eastAsia"/>
                <w:color w:val="4B4B4B"/>
                <w:kern w:val="0"/>
                <w:szCs w:val="21"/>
              </w:rPr>
              <w:t>识图用图</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地形图基本知识、地图使用训练</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r w:rsidR="006F2C6D" w:rsidRPr="00AB4F79" w:rsidTr="005E7B30">
        <w:trPr>
          <w:trHeight w:val="454"/>
          <w:jc w:val="center"/>
        </w:trPr>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116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电磁频谱监测</w:t>
            </w:r>
          </w:p>
        </w:tc>
        <w:tc>
          <w:tcPr>
            <w:tcW w:w="1522" w:type="pct"/>
            <w:tcBorders>
              <w:top w:val="nil"/>
              <w:left w:val="nil"/>
              <w:bottom w:val="single" w:sz="8" w:space="0" w:color="auto"/>
              <w:right w:val="single" w:sz="8" w:space="0" w:color="auto"/>
            </w:tcBorders>
            <w:tcMar>
              <w:top w:w="85" w:type="dxa"/>
              <w:left w:w="0" w:type="dxa"/>
              <w:bottom w:w="85" w:type="dxa"/>
              <w:right w:w="0" w:type="dxa"/>
            </w:tcMar>
            <w:vAlign w:val="center"/>
          </w:tcPr>
          <w:p w:rsidR="006F2C6D" w:rsidRPr="005E7B30" w:rsidRDefault="006F2C6D" w:rsidP="005E7B30">
            <w:pPr>
              <w:widowControl/>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宋体" w:hAnsi="宋体" w:cs="宋体" w:hint="eastAsia"/>
                <w:color w:val="4B4B4B"/>
                <w:kern w:val="0"/>
                <w:szCs w:val="21"/>
              </w:rPr>
              <w:t>电磁频谱监测基本知识、方法训练</w:t>
            </w: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single" w:sz="8" w:space="0" w:color="auto"/>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c>
          <w:tcPr>
            <w:tcW w:w="0" w:type="auto"/>
            <w:vMerge/>
            <w:tcBorders>
              <w:top w:val="nil"/>
              <w:left w:val="nil"/>
              <w:bottom w:val="single" w:sz="8" w:space="0" w:color="auto"/>
              <w:right w:val="nil"/>
            </w:tcBorders>
            <w:vAlign w:val="center"/>
          </w:tcPr>
          <w:p w:rsidR="006F2C6D" w:rsidRPr="005E7B30" w:rsidRDefault="006F2C6D" w:rsidP="005E7B30">
            <w:pPr>
              <w:widowControl/>
              <w:jc w:val="left"/>
              <w:rPr>
                <w:rFonts w:ascii="微软雅黑" w:eastAsia="微软雅黑" w:hAnsi="微软雅黑" w:cs="宋体"/>
                <w:color w:val="4B4B4B"/>
                <w:kern w:val="0"/>
                <w:sz w:val="16"/>
                <w:szCs w:val="16"/>
              </w:rPr>
            </w:pPr>
          </w:p>
        </w:tc>
      </w:tr>
    </w:tbl>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楷体" w:eastAsia="楷体" w:hAnsi="楷体" w:cs="宋体" w:hint="eastAsia"/>
          <w:color w:val="4B4B4B"/>
          <w:kern w:val="0"/>
          <w:sz w:val="16"/>
          <w:szCs w:val="16"/>
        </w:rPr>
        <w:t>注：带</w:t>
      </w:r>
      <w:r w:rsidRPr="005E7B30">
        <w:rPr>
          <w:rFonts w:ascii="楷体" w:eastAsia="楷体" w:hAnsi="楷体" w:cs="宋体"/>
          <w:color w:val="4B4B4B"/>
          <w:kern w:val="0"/>
          <w:sz w:val="16"/>
          <w:szCs w:val="16"/>
        </w:rPr>
        <w:t>*</w:t>
      </w:r>
      <w:r w:rsidRPr="005E7B30">
        <w:rPr>
          <w:rFonts w:ascii="楷体" w:eastAsia="楷体" w:hAnsi="楷体" w:cs="宋体" w:hint="eastAsia"/>
          <w:color w:val="4B4B4B"/>
          <w:kern w:val="0"/>
          <w:sz w:val="16"/>
          <w:szCs w:val="16"/>
        </w:rPr>
        <w:t>的为必训课目，其余为选训课目；训练日按每天</w:t>
      </w:r>
      <w:r w:rsidRPr="005E7B30">
        <w:rPr>
          <w:rFonts w:ascii="楷体" w:eastAsia="楷体" w:hAnsi="楷体" w:cs="宋体"/>
          <w:color w:val="4B4B4B"/>
          <w:kern w:val="0"/>
          <w:sz w:val="16"/>
          <w:szCs w:val="16"/>
        </w:rPr>
        <w:t>8</w:t>
      </w:r>
      <w:r w:rsidRPr="005E7B30">
        <w:rPr>
          <w:rFonts w:ascii="楷体" w:eastAsia="楷体" w:hAnsi="楷体" w:cs="宋体" w:hint="eastAsia"/>
          <w:color w:val="4B4B4B"/>
          <w:kern w:val="0"/>
          <w:sz w:val="16"/>
          <w:szCs w:val="16"/>
        </w:rPr>
        <w:t>学时计算。</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五、教师发展</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教师是完成军事课教学目标的具体执行者和组织者，学校应当按照教学时数和授课学生数量配备相应数量的军事课教师。军队应完善派遣军官制度，按计划派出承训力量，军地双方共同完成军事课教学任务。</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军事课教师必须在政治上从严要求，努力提高自身思想素质、军事素质和业务能力，积极参加教学改革和学术研究，不断提高教学质量，开创军事课教学科研工作新局面。</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各级教育行政部门、军事部门和普通高等学校应当有计划地安排军事课教师接受继续教育和培训，不断改善知识结构，提高教育教学水平以及学历、学位层次，适应现代高等教育和军事课教学科研需要。</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六、教材建设</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建立和完善军事课教材建设、规划、编审管理制度。加强普通高等学校军事教学指导委员会建设，规范军事课教材编写和审查。实行教材准入制度。高校应选用优质教材进行教学，确保教材的政策性、权威性和规范性。</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七、教学方法</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坚持课堂教学和教师面授在军事课教学中的主渠道作用，重视信息技术和慕课、微课、视频公开课等在线课程在教学中的应用和管理。</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军事理论教学进入正常授课课堂，严禁以集中讲座等形式替代课堂教学。军事技能训练应坚持按纲施训、依法治训原则，积极推广仿真训练和模拟训练，严禁违规开展商业化运营和市场化运作。</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八、课程考核</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考核包括军事理论考试和军事技能训练考核，成绩合格者计入学分。学校要建立健全军事课考核规章制度，对考核组织实施程序、方法、标准、要求等进行规范。军事理论考试由学校组织实施，考试成绩按百分制计分，根据卷面成绩、平时作业、考勤情况和课堂表现综合评定。军事技能训练考核由学校和承训教官共同组织实施，成绩分优秀、良好、及格和不及格四个等级。根据学生参训时间、现实表现、掌握程度综合评定。军事课成绩不及格者必须进行补考，补考合格后取得相应学分。</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九、教学保障</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学校要加强军事课教学的组织保障、经费保障、训练场地保障。军用装备器材由各省军区（卫戍区、警备区）保障；军民通用装备器材由学校保障，纳入政府年度预算和学校经费保障范畴。</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十、督导评价</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军事课纳入国家教育督导体系，定期组织军事课建设教育督导。各省级教育行政部门会同军事部门成立军事课教学督导机构，制定本地区的评价方案，定期组织军事课程督导评价，充分发挥教育督导评价的导向和激励作用。通过定期举办学生军事训练营等教学展示活动检验军事课教学效果。各学校要建立军事课程评价体系和管理制度，并将军事课程评价纳入学校课程评价总体框架、教学质量年度报告和学校综合办学水平评估。完善高校军事课评价体系，把军事课纳入高校人才培养工作评估体系，作为办学评价的重要指标。</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b/>
          <w:bCs/>
          <w:color w:val="4B4B4B"/>
          <w:kern w:val="0"/>
          <w:sz w:val="16"/>
        </w:rPr>
        <w:t xml:space="preserve">　　十一、附则</w:t>
      </w:r>
      <w:r w:rsidRPr="005E7B30">
        <w:rPr>
          <w:rFonts w:ascii="微软雅黑" w:eastAsia="微软雅黑" w:hAnsi="微软雅黑" w:cs="宋体"/>
          <w:b/>
          <w:bCs/>
          <w:color w:val="4B4B4B"/>
          <w:kern w:val="0"/>
          <w:sz w:val="16"/>
        </w:rPr>
        <w:t xml:space="preserve"> </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本《大纲》是普通高等学校开展军事课教学的基本依据，也是军事课教学教材建设和教学评价的重要依据。</w:t>
      </w:r>
    </w:p>
    <w:p w:rsidR="006F2C6D" w:rsidRPr="005E7B30" w:rsidRDefault="006F2C6D" w:rsidP="005E7B30">
      <w:pPr>
        <w:widowControl/>
        <w:shd w:val="clear" w:color="auto" w:fill="FFFFFF"/>
        <w:spacing w:before="100" w:beforeAutospacing="1" w:after="100" w:afterAutospacing="1" w:line="320" w:lineRule="atLeast"/>
        <w:jc w:val="left"/>
        <w:rPr>
          <w:rFonts w:ascii="微软雅黑" w:eastAsia="微软雅黑" w:hAnsi="微软雅黑" w:cs="宋体"/>
          <w:color w:val="4B4B4B"/>
          <w:kern w:val="0"/>
          <w:sz w:val="16"/>
          <w:szCs w:val="16"/>
        </w:rPr>
      </w:pPr>
      <w:r w:rsidRPr="005E7B30">
        <w:rPr>
          <w:rFonts w:ascii="微软雅黑" w:eastAsia="微软雅黑" w:hAnsi="微软雅黑" w:cs="宋体" w:hint="eastAsia"/>
          <w:color w:val="4B4B4B"/>
          <w:kern w:val="0"/>
          <w:sz w:val="16"/>
          <w:szCs w:val="16"/>
        </w:rPr>
        <w:t xml:space="preserve">　　本《大纲》于</w:t>
      </w:r>
      <w:r w:rsidRPr="005E7B30">
        <w:rPr>
          <w:rFonts w:ascii="微软雅黑" w:eastAsia="微软雅黑" w:hAnsi="微软雅黑" w:cs="宋体"/>
          <w:color w:val="4B4B4B"/>
          <w:kern w:val="0"/>
          <w:sz w:val="16"/>
          <w:szCs w:val="16"/>
        </w:rPr>
        <w:t>2019</w:t>
      </w:r>
      <w:r w:rsidRPr="005E7B30">
        <w:rPr>
          <w:rFonts w:ascii="微软雅黑" w:eastAsia="微软雅黑" w:hAnsi="微软雅黑" w:cs="宋体" w:hint="eastAsia"/>
          <w:color w:val="4B4B4B"/>
          <w:kern w:val="0"/>
          <w:sz w:val="16"/>
          <w:szCs w:val="16"/>
        </w:rPr>
        <w:t>年</w:t>
      </w:r>
      <w:r w:rsidRPr="005E7B30">
        <w:rPr>
          <w:rFonts w:ascii="微软雅黑" w:eastAsia="微软雅黑" w:hAnsi="微软雅黑" w:cs="宋体"/>
          <w:color w:val="4B4B4B"/>
          <w:kern w:val="0"/>
          <w:sz w:val="16"/>
          <w:szCs w:val="16"/>
        </w:rPr>
        <w:t>8</w:t>
      </w:r>
      <w:r w:rsidRPr="005E7B30">
        <w:rPr>
          <w:rFonts w:ascii="微软雅黑" w:eastAsia="微软雅黑" w:hAnsi="微软雅黑" w:cs="宋体" w:hint="eastAsia"/>
          <w:color w:val="4B4B4B"/>
          <w:kern w:val="0"/>
          <w:sz w:val="16"/>
          <w:szCs w:val="16"/>
        </w:rPr>
        <w:t>月起在全国施行。原《普通高等学校军事课教学大纲》（</w:t>
      </w:r>
      <w:r w:rsidRPr="005E7B30">
        <w:rPr>
          <w:rFonts w:ascii="微软雅黑" w:eastAsia="微软雅黑" w:hAnsi="微软雅黑" w:cs="宋体"/>
          <w:color w:val="4B4B4B"/>
          <w:kern w:val="0"/>
          <w:sz w:val="16"/>
          <w:szCs w:val="16"/>
        </w:rPr>
        <w:t>2006</w:t>
      </w:r>
      <w:r w:rsidRPr="005E7B30">
        <w:rPr>
          <w:rFonts w:ascii="微软雅黑" w:eastAsia="微软雅黑" w:hAnsi="微软雅黑" w:cs="宋体" w:hint="eastAsia"/>
          <w:color w:val="4B4B4B"/>
          <w:kern w:val="0"/>
          <w:sz w:val="16"/>
          <w:szCs w:val="16"/>
        </w:rPr>
        <w:t>年修订）废止。</w:t>
      </w:r>
    </w:p>
    <w:p w:rsidR="006F2C6D" w:rsidRPr="005E7B30" w:rsidRDefault="006F2C6D"/>
    <w:sectPr w:rsidR="006F2C6D" w:rsidRPr="005E7B30" w:rsidSect="007D2C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C6D" w:rsidRDefault="006F2C6D" w:rsidP="005E7B30">
      <w:r>
        <w:separator/>
      </w:r>
    </w:p>
  </w:endnote>
  <w:endnote w:type="continuationSeparator" w:id="0">
    <w:p w:rsidR="006F2C6D" w:rsidRDefault="006F2C6D" w:rsidP="005E7B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Î¢ÈíÑÅºÚ Western">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C6D" w:rsidRDefault="006F2C6D" w:rsidP="005E7B30">
      <w:r>
        <w:separator/>
      </w:r>
    </w:p>
  </w:footnote>
  <w:footnote w:type="continuationSeparator" w:id="0">
    <w:p w:rsidR="006F2C6D" w:rsidRDefault="006F2C6D" w:rsidP="005E7B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B30"/>
    <w:rsid w:val="000003EB"/>
    <w:rsid w:val="00132DF3"/>
    <w:rsid w:val="004620FD"/>
    <w:rsid w:val="005E7B30"/>
    <w:rsid w:val="006F2C6D"/>
    <w:rsid w:val="007D2CDE"/>
    <w:rsid w:val="008F0554"/>
    <w:rsid w:val="00AB4F79"/>
    <w:rsid w:val="00D8310D"/>
    <w:rsid w:val="00E94B96"/>
    <w:rsid w:val="00F102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D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E7B3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E7B30"/>
    <w:rPr>
      <w:rFonts w:cs="Times New Roman"/>
      <w:sz w:val="18"/>
      <w:szCs w:val="18"/>
    </w:rPr>
  </w:style>
  <w:style w:type="paragraph" w:styleId="Footer">
    <w:name w:val="footer"/>
    <w:basedOn w:val="Normal"/>
    <w:link w:val="FooterChar"/>
    <w:uiPriority w:val="99"/>
    <w:semiHidden/>
    <w:rsid w:val="005E7B3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E7B30"/>
    <w:rPr>
      <w:rFonts w:cs="Times New Roman"/>
      <w:sz w:val="18"/>
      <w:szCs w:val="18"/>
    </w:rPr>
  </w:style>
  <w:style w:type="character" w:styleId="Strong">
    <w:name w:val="Strong"/>
    <w:basedOn w:val="DefaultParagraphFont"/>
    <w:uiPriority w:val="99"/>
    <w:qFormat/>
    <w:rsid w:val="005E7B30"/>
    <w:rPr>
      <w:rFonts w:cs="Times New Roman"/>
      <w:b/>
      <w:bCs/>
    </w:rPr>
  </w:style>
</w:styles>
</file>

<file path=word/webSettings.xml><?xml version="1.0" encoding="utf-8"?>
<w:webSettings xmlns:r="http://schemas.openxmlformats.org/officeDocument/2006/relationships" xmlns:w="http://schemas.openxmlformats.org/wordprocessingml/2006/main">
  <w:divs>
    <w:div w:id="991101407">
      <w:marLeft w:val="0"/>
      <w:marRight w:val="0"/>
      <w:marTop w:val="0"/>
      <w:marBottom w:val="0"/>
      <w:divBdr>
        <w:top w:val="none" w:sz="0" w:space="0" w:color="auto"/>
        <w:left w:val="none" w:sz="0" w:space="0" w:color="auto"/>
        <w:bottom w:val="none" w:sz="0" w:space="0" w:color="auto"/>
        <w:right w:val="none" w:sz="0" w:space="0" w:color="auto"/>
      </w:divBdr>
      <w:divsChild>
        <w:div w:id="991101403">
          <w:marLeft w:val="0"/>
          <w:marRight w:val="0"/>
          <w:marTop w:val="0"/>
          <w:marBottom w:val="0"/>
          <w:divBdr>
            <w:top w:val="none" w:sz="0" w:space="0" w:color="auto"/>
            <w:left w:val="none" w:sz="0" w:space="0" w:color="auto"/>
            <w:bottom w:val="none" w:sz="0" w:space="0" w:color="auto"/>
            <w:right w:val="none" w:sz="0" w:space="0" w:color="auto"/>
          </w:divBdr>
          <w:divsChild>
            <w:div w:id="991101405">
              <w:marLeft w:val="0"/>
              <w:marRight w:val="0"/>
              <w:marTop w:val="0"/>
              <w:marBottom w:val="0"/>
              <w:divBdr>
                <w:top w:val="none" w:sz="0" w:space="0" w:color="auto"/>
                <w:left w:val="none" w:sz="0" w:space="0" w:color="auto"/>
                <w:bottom w:val="none" w:sz="0" w:space="0" w:color="auto"/>
                <w:right w:val="none" w:sz="0" w:space="0" w:color="auto"/>
              </w:divBdr>
              <w:divsChild>
                <w:div w:id="991101402">
                  <w:marLeft w:val="0"/>
                  <w:marRight w:val="0"/>
                  <w:marTop w:val="0"/>
                  <w:marBottom w:val="0"/>
                  <w:divBdr>
                    <w:top w:val="single" w:sz="4" w:space="25" w:color="BCBCBC"/>
                    <w:left w:val="single" w:sz="4" w:space="31" w:color="BCBCBC"/>
                    <w:bottom w:val="single" w:sz="4" w:space="10" w:color="BCBCBC"/>
                    <w:right w:val="single" w:sz="4" w:space="31" w:color="BCBCBC"/>
                  </w:divBdr>
                  <w:divsChild>
                    <w:div w:id="991101406">
                      <w:marLeft w:val="0"/>
                      <w:marRight w:val="0"/>
                      <w:marTop w:val="0"/>
                      <w:marBottom w:val="0"/>
                      <w:divBdr>
                        <w:top w:val="none" w:sz="0" w:space="0" w:color="auto"/>
                        <w:left w:val="none" w:sz="0" w:space="0" w:color="auto"/>
                        <w:bottom w:val="none" w:sz="0" w:space="0" w:color="auto"/>
                        <w:right w:val="none" w:sz="0" w:space="0" w:color="auto"/>
                      </w:divBdr>
                      <w:divsChild>
                        <w:div w:id="9911014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681</Words>
  <Characters>3888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2019-09-07T06:12:00Z</cp:lastPrinted>
  <dcterms:created xsi:type="dcterms:W3CDTF">2019-04-10T03:09:00Z</dcterms:created>
  <dcterms:modified xsi:type="dcterms:W3CDTF">2019-09-07T07:01:00Z</dcterms:modified>
</cp:coreProperties>
</file>